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77FD" w14:textId="77777777" w:rsidR="004E17EE" w:rsidRPr="002615DA" w:rsidRDefault="004E17EE">
      <w:pPr>
        <w:pStyle w:val="Title"/>
        <w:spacing w:before="0" w:after="0"/>
        <w:jc w:val="center"/>
        <w:rPr>
          <w:rFonts w:ascii="Century Gothic" w:hAnsi="Century Gothic"/>
          <w:b w:val="0"/>
          <w:bCs w:val="0"/>
          <w:noProof/>
        </w:rPr>
      </w:pPr>
    </w:p>
    <w:p w14:paraId="2DE242FC" w14:textId="77777777" w:rsidR="004E17EE" w:rsidRPr="002615DA" w:rsidRDefault="004E17EE">
      <w:pPr>
        <w:pStyle w:val="Title"/>
        <w:spacing w:before="0" w:after="0"/>
        <w:jc w:val="center"/>
        <w:rPr>
          <w:rFonts w:ascii="Century Gothic" w:hAnsi="Century Gothic"/>
          <w:b w:val="0"/>
          <w:bCs w:val="0"/>
          <w:noProof/>
        </w:rPr>
      </w:pPr>
    </w:p>
    <w:p w14:paraId="5C308853" w14:textId="77777777" w:rsidR="004E17EE" w:rsidRPr="002615DA" w:rsidRDefault="004E17EE">
      <w:pPr>
        <w:pStyle w:val="Title"/>
        <w:spacing w:before="0" w:after="0"/>
        <w:jc w:val="center"/>
        <w:rPr>
          <w:rFonts w:ascii="Century Gothic" w:hAnsi="Century Gothic"/>
          <w:b w:val="0"/>
          <w:bCs w:val="0"/>
          <w:noProof/>
        </w:rPr>
      </w:pPr>
    </w:p>
    <w:p w14:paraId="4CEABCA1" w14:textId="77777777" w:rsidR="004E17EE" w:rsidRPr="002615DA" w:rsidRDefault="004E17EE">
      <w:pPr>
        <w:pStyle w:val="Title"/>
        <w:spacing w:before="0" w:after="0"/>
        <w:jc w:val="center"/>
        <w:rPr>
          <w:rFonts w:ascii="Century Gothic" w:hAnsi="Century Gothic"/>
          <w:b w:val="0"/>
          <w:bCs w:val="0"/>
          <w:noProof/>
        </w:rPr>
      </w:pPr>
    </w:p>
    <w:p w14:paraId="64535C94" w14:textId="77777777" w:rsidR="004E17EE" w:rsidRPr="002615DA" w:rsidRDefault="004E17EE">
      <w:pPr>
        <w:pStyle w:val="Title"/>
        <w:spacing w:before="0" w:after="0"/>
        <w:jc w:val="center"/>
        <w:rPr>
          <w:rFonts w:ascii="Century Gothic" w:hAnsi="Century Gothic"/>
          <w:b w:val="0"/>
          <w:bCs w:val="0"/>
          <w:noProof/>
        </w:rPr>
      </w:pPr>
    </w:p>
    <w:p w14:paraId="4C4D0757" w14:textId="0774FB88" w:rsidR="001E1767" w:rsidRPr="002615DA" w:rsidRDefault="00BB7869">
      <w:pPr>
        <w:pStyle w:val="Title"/>
        <w:spacing w:before="0" w:after="0"/>
        <w:jc w:val="center"/>
        <w:rPr>
          <w:rFonts w:ascii="Century Gothic" w:hAnsi="Century Gothic"/>
          <w:b w:val="0"/>
          <w:bCs w:val="0"/>
          <w:noProof/>
        </w:rPr>
      </w:pPr>
      <w:r w:rsidRPr="002615DA">
        <w:rPr>
          <w:rFonts w:ascii="Century Gothic" w:hAnsi="Century Gothic"/>
          <w:b w:val="0"/>
          <w:bCs w:val="0"/>
          <w:noProof/>
          <w:lang w:val="en-US"/>
        </w:rPr>
        <w:drawing>
          <wp:inline distT="0" distB="0" distL="0" distR="0" wp14:anchorId="03F9A65D" wp14:editId="69CC7D0A">
            <wp:extent cx="1448789" cy="144878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HP_Blue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99" cy="1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B68A" w14:textId="388AE766" w:rsidR="00BD07DA" w:rsidRPr="002615DA" w:rsidRDefault="00D410F4" w:rsidP="00C91B50">
      <w:pPr>
        <w:pStyle w:val="Title"/>
        <w:spacing w:before="0" w:after="0"/>
        <w:jc w:val="center"/>
        <w:rPr>
          <w:rFonts w:ascii="Century Gothic" w:hAnsi="Century Gothic"/>
          <w:b w:val="0"/>
          <w:sz w:val="56"/>
          <w:szCs w:val="56"/>
        </w:rPr>
      </w:pPr>
      <w:r>
        <w:rPr>
          <w:rFonts w:ascii="Century Gothic" w:hAnsi="Century Gothic"/>
          <w:noProof/>
          <w:sz w:val="56"/>
          <w:szCs w:val="56"/>
        </w:rPr>
        <w:t>Workflow</w:t>
      </w:r>
      <w:r w:rsidR="00C91B50" w:rsidRPr="002615DA">
        <w:rPr>
          <w:rFonts w:ascii="Century Gothic" w:hAnsi="Century Gothic"/>
          <w:noProof/>
          <w:sz w:val="56"/>
          <w:szCs w:val="56"/>
        </w:rPr>
        <w:t xml:space="preserve"> Expression Reference</w:t>
      </w:r>
    </w:p>
    <w:p w14:paraId="11B58C20" w14:textId="77777777" w:rsidR="00BD07DA" w:rsidRPr="002615DA" w:rsidRDefault="00BD07DA">
      <w:pPr>
        <w:keepLines w:val="0"/>
        <w:autoSpaceDE w:val="0"/>
        <w:autoSpaceDN w:val="0"/>
        <w:adjustRightInd w:val="0"/>
        <w:spacing w:before="0"/>
        <w:rPr>
          <w:rFonts w:ascii="Century Gothic" w:hAnsi="Century Gothic"/>
        </w:rPr>
      </w:pPr>
    </w:p>
    <w:p w14:paraId="7CCD5FBE" w14:textId="77777777" w:rsidR="00AE4CC6" w:rsidRPr="002615DA" w:rsidRDefault="00AE4CC6" w:rsidP="00C14A45">
      <w:pPr>
        <w:keepLines w:val="0"/>
        <w:autoSpaceDE w:val="0"/>
        <w:autoSpaceDN w:val="0"/>
        <w:adjustRightInd w:val="0"/>
        <w:spacing w:before="0"/>
        <w:jc w:val="center"/>
        <w:rPr>
          <w:rFonts w:ascii="Century Gothic" w:hAnsi="Century Gothic"/>
        </w:rPr>
      </w:pPr>
    </w:p>
    <w:p w14:paraId="6DDEFE19" w14:textId="77777777" w:rsidR="00C14A45" w:rsidRPr="002615DA" w:rsidRDefault="00C14A45" w:rsidP="00C14A45">
      <w:pPr>
        <w:keepLines w:val="0"/>
        <w:autoSpaceDE w:val="0"/>
        <w:autoSpaceDN w:val="0"/>
        <w:adjustRightInd w:val="0"/>
        <w:spacing w:before="0"/>
        <w:jc w:val="center"/>
        <w:rPr>
          <w:rFonts w:ascii="Century Gothic" w:hAnsi="Century Gothic"/>
        </w:rPr>
      </w:pPr>
    </w:p>
    <w:p w14:paraId="69C70431" w14:textId="77777777" w:rsidR="00BD07DA" w:rsidRPr="002615DA" w:rsidRDefault="00BD07DA">
      <w:pPr>
        <w:rPr>
          <w:rFonts w:ascii="Century Gothic" w:hAnsi="Century Gothic"/>
        </w:rPr>
      </w:pPr>
    </w:p>
    <w:p w14:paraId="49E51AA5" w14:textId="77777777" w:rsidR="00AD257E" w:rsidRDefault="00BD07DA">
      <w:r w:rsidRPr="002615DA">
        <w:rPr>
          <w:rFonts w:ascii="Century Gothic" w:hAnsi="Century Gothic"/>
        </w:rPr>
        <w:br w:type="page"/>
      </w:r>
      <w:r w:rsidRPr="002615DA">
        <w:rPr>
          <w:rFonts w:ascii="Century Gothic" w:hAnsi="Century Gothic"/>
          <w:sz w:val="24"/>
        </w:rPr>
        <w:fldChar w:fldCharType="begin"/>
      </w:r>
      <w:r w:rsidRPr="002615DA">
        <w:rPr>
          <w:rFonts w:ascii="Century Gothic" w:hAnsi="Century Gothic"/>
          <w:sz w:val="24"/>
        </w:rPr>
        <w:instrText xml:space="preserve"> TOC \o "1-4" </w:instrText>
      </w:r>
      <w:r w:rsidRPr="002615DA">
        <w:rPr>
          <w:rFonts w:ascii="Century Gothic" w:hAnsi="Century Gothic"/>
          <w:sz w:val="24"/>
        </w:rPr>
        <w:fldChar w:fldCharType="separate"/>
      </w:r>
    </w:p>
    <w:p w14:paraId="753C07F3" w14:textId="77777777" w:rsidR="00AD257E" w:rsidRDefault="00AD25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/>
        </w:rPr>
      </w:pPr>
      <w:r w:rsidRPr="00EE6795">
        <w:rPr>
          <w:rFonts w:ascii="Century Gothic" w:hAnsi="Century Gothic"/>
        </w:rPr>
        <w:lastRenderedPageBreak/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en-US"/>
        </w:rPr>
        <w:tab/>
      </w:r>
      <w:r w:rsidRPr="00EE6795">
        <w:rPr>
          <w:rFonts w:ascii="Century Gothic" w:hAnsi="Century Gothic"/>
        </w:rPr>
        <w:t>Document Information</w:t>
      </w:r>
      <w:r>
        <w:tab/>
      </w:r>
      <w:r>
        <w:fldChar w:fldCharType="begin"/>
      </w:r>
      <w:r>
        <w:instrText xml:space="preserve"> PAGEREF _Toc434354536 \h </w:instrText>
      </w:r>
      <w:r>
        <w:fldChar w:fldCharType="separate"/>
      </w:r>
      <w:r>
        <w:t>3</w:t>
      </w:r>
      <w:r>
        <w:fldChar w:fldCharType="end"/>
      </w:r>
    </w:p>
    <w:p w14:paraId="1B09F795" w14:textId="3C6F6A3B" w:rsidR="00AD257E" w:rsidRDefault="00AD257E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EE6795">
        <w:rPr>
          <w:rFonts w:ascii="Century Gothic" w:hAnsi="Century Gothic"/>
          <w:lang w:val="en-US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="00D410F4">
        <w:rPr>
          <w:rFonts w:ascii="Century Gothic" w:hAnsi="Century Gothic"/>
          <w:lang w:val="en-US"/>
        </w:rPr>
        <w:t>Step</w:t>
      </w:r>
      <w:r w:rsidRPr="00EE6795">
        <w:rPr>
          <w:rFonts w:ascii="Century Gothic" w:hAnsi="Century Gothic"/>
          <w:lang w:val="en-US"/>
        </w:rPr>
        <w:t xml:space="preserve"> Expression Reference</w:t>
      </w:r>
      <w:r>
        <w:tab/>
      </w:r>
      <w:r>
        <w:fldChar w:fldCharType="begin"/>
      </w:r>
      <w:r>
        <w:instrText xml:space="preserve"> PAGEREF _Toc434354537 \h </w:instrText>
      </w:r>
      <w:r>
        <w:fldChar w:fldCharType="separate"/>
      </w:r>
      <w:r>
        <w:t>3</w:t>
      </w:r>
      <w:r>
        <w:fldChar w:fldCharType="end"/>
      </w:r>
    </w:p>
    <w:p w14:paraId="686BBDCF" w14:textId="77777777" w:rsidR="00AD257E" w:rsidRDefault="00AD257E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EE6795">
        <w:rPr>
          <w:rFonts w:ascii="Century Gothic" w:hAnsi="Century Gothic"/>
          <w:lang w:val="en-US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EE6795">
        <w:rPr>
          <w:rFonts w:ascii="Century Gothic" w:hAnsi="Century Gothic"/>
          <w:lang w:val="en-US"/>
        </w:rPr>
        <w:t>Expression Reference</w:t>
      </w:r>
      <w:r>
        <w:tab/>
      </w:r>
      <w:r>
        <w:fldChar w:fldCharType="begin"/>
      </w:r>
      <w:r>
        <w:instrText xml:space="preserve"> PAGEREF _Toc434354538 \h </w:instrText>
      </w:r>
      <w:r>
        <w:fldChar w:fldCharType="separate"/>
      </w:r>
      <w:r>
        <w:t>3</w:t>
      </w:r>
      <w:r>
        <w:fldChar w:fldCharType="end"/>
      </w:r>
    </w:p>
    <w:p w14:paraId="085D8E43" w14:textId="77777777" w:rsidR="00AD257E" w:rsidRDefault="00AD257E">
      <w:pPr>
        <w:pStyle w:val="TOC3"/>
        <w:rPr>
          <w:rFonts w:asciiTheme="minorHAnsi" w:eastAsiaTheme="minorEastAsia" w:hAnsiTheme="minorHAnsi" w:cstheme="minorBidi"/>
          <w:lang w:val="en-US"/>
        </w:rPr>
      </w:pPr>
      <w:r w:rsidRPr="00EE6795">
        <w:rPr>
          <w:rFonts w:ascii="Century Gothic" w:hAnsi="Century Gothic"/>
          <w:lang w:val="en-US"/>
        </w:rPr>
        <w:t>1.2.1</w:t>
      </w:r>
      <w:r>
        <w:rPr>
          <w:rFonts w:asciiTheme="minorHAnsi" w:eastAsiaTheme="minorEastAsia" w:hAnsiTheme="minorHAnsi" w:cstheme="minorBidi"/>
          <w:lang w:val="en-US"/>
        </w:rPr>
        <w:tab/>
      </w:r>
      <w:r w:rsidRPr="00EE6795">
        <w:rPr>
          <w:rFonts w:ascii="Century Gothic" w:hAnsi="Century Gothic"/>
          <w:lang w:val="en-US"/>
        </w:rPr>
        <w:t>Basic Expression Structure</w:t>
      </w:r>
      <w:r>
        <w:tab/>
      </w:r>
      <w:r>
        <w:fldChar w:fldCharType="begin"/>
      </w:r>
      <w:r>
        <w:instrText xml:space="preserve"> PAGEREF _Toc434354539 \h </w:instrText>
      </w:r>
      <w:r>
        <w:fldChar w:fldCharType="separate"/>
      </w:r>
      <w:r>
        <w:t>3</w:t>
      </w:r>
      <w:r>
        <w:fldChar w:fldCharType="end"/>
      </w:r>
    </w:p>
    <w:p w14:paraId="08274E93" w14:textId="77777777" w:rsidR="00AD257E" w:rsidRDefault="00AD257E">
      <w:pPr>
        <w:pStyle w:val="TOC3"/>
        <w:rPr>
          <w:rFonts w:asciiTheme="minorHAnsi" w:eastAsiaTheme="minorEastAsia" w:hAnsiTheme="minorHAnsi" w:cstheme="minorBidi"/>
          <w:lang w:val="en-US"/>
        </w:rPr>
      </w:pPr>
      <w:r w:rsidRPr="00EE6795">
        <w:rPr>
          <w:rFonts w:ascii="Century Gothic" w:hAnsi="Century Gothic"/>
          <w:lang w:val="en-US"/>
        </w:rPr>
        <w:t>1.2.2</w:t>
      </w:r>
      <w:r>
        <w:rPr>
          <w:rFonts w:asciiTheme="minorHAnsi" w:eastAsiaTheme="minorEastAsia" w:hAnsiTheme="minorHAnsi" w:cstheme="minorBidi"/>
          <w:lang w:val="en-US"/>
        </w:rPr>
        <w:tab/>
      </w:r>
      <w:r w:rsidRPr="00EE6795">
        <w:rPr>
          <w:rFonts w:ascii="Century Gothic" w:hAnsi="Century Gothic"/>
          <w:lang w:val="en-US"/>
        </w:rPr>
        <w:t>Expressions</w:t>
      </w:r>
      <w:r>
        <w:tab/>
      </w:r>
      <w:r>
        <w:fldChar w:fldCharType="begin"/>
      </w:r>
      <w:r>
        <w:instrText xml:space="preserve"> PAGEREF _Toc434354540 \h </w:instrText>
      </w:r>
      <w:r>
        <w:fldChar w:fldCharType="separate"/>
      </w:r>
      <w:r>
        <w:t>4</w:t>
      </w:r>
      <w:r>
        <w:fldChar w:fldCharType="end"/>
      </w:r>
    </w:p>
    <w:p w14:paraId="66FE13A6" w14:textId="77777777" w:rsidR="00AD257E" w:rsidRDefault="00AD257E">
      <w:pPr>
        <w:pStyle w:val="TOC3"/>
        <w:rPr>
          <w:rFonts w:asciiTheme="minorHAnsi" w:eastAsiaTheme="minorEastAsia" w:hAnsiTheme="minorHAnsi" w:cstheme="minorBidi"/>
          <w:lang w:val="en-US"/>
        </w:rPr>
      </w:pPr>
      <w:r w:rsidRPr="00EE6795">
        <w:rPr>
          <w:lang w:val="en-US"/>
        </w:rPr>
        <w:t>1.2.3</w:t>
      </w:r>
      <w:r>
        <w:rPr>
          <w:rFonts w:asciiTheme="minorHAnsi" w:eastAsiaTheme="minorEastAsia" w:hAnsiTheme="minorHAnsi" w:cstheme="minorBidi"/>
          <w:lang w:val="en-US"/>
        </w:rPr>
        <w:tab/>
      </w:r>
      <w:r w:rsidRPr="00EE6795">
        <w:rPr>
          <w:lang w:val="en-US"/>
        </w:rPr>
        <w:t>Modifiers</w:t>
      </w:r>
      <w:r>
        <w:tab/>
      </w:r>
      <w:r>
        <w:fldChar w:fldCharType="begin"/>
      </w:r>
      <w:r>
        <w:instrText xml:space="preserve"> PAGEREF _Toc434354541 \h </w:instrText>
      </w:r>
      <w:r>
        <w:fldChar w:fldCharType="separate"/>
      </w:r>
      <w:r>
        <w:t>5</w:t>
      </w:r>
      <w:r>
        <w:fldChar w:fldCharType="end"/>
      </w:r>
    </w:p>
    <w:p w14:paraId="6EB497E7" w14:textId="77777777" w:rsidR="00BD07DA" w:rsidRPr="002615DA" w:rsidRDefault="00BD07DA">
      <w:pPr>
        <w:pStyle w:val="Heading1"/>
        <w:rPr>
          <w:rFonts w:ascii="Century Gothic" w:hAnsi="Century Gothic"/>
          <w:sz w:val="36"/>
        </w:rPr>
      </w:pPr>
      <w:r w:rsidRPr="002615DA">
        <w:rPr>
          <w:rFonts w:ascii="Century Gothic" w:hAnsi="Century Gothic"/>
          <w:sz w:val="36"/>
        </w:rPr>
        <w:lastRenderedPageBreak/>
        <w:fldChar w:fldCharType="end"/>
      </w:r>
      <w:bookmarkStart w:id="0" w:name="_Toc434354536"/>
      <w:r w:rsidRPr="002615DA">
        <w:rPr>
          <w:rFonts w:ascii="Century Gothic" w:hAnsi="Century Gothic"/>
          <w:sz w:val="36"/>
        </w:rPr>
        <w:t>Document Information</w:t>
      </w:r>
      <w:bookmarkEnd w:id="0"/>
    </w:p>
    <w:p w14:paraId="4F7DB750" w14:textId="76062A12" w:rsidR="00242DE2" w:rsidRPr="002615DA" w:rsidRDefault="00D410F4" w:rsidP="00B10211">
      <w:pPr>
        <w:pStyle w:val="Heading2"/>
        <w:rPr>
          <w:rFonts w:ascii="Century Gothic" w:hAnsi="Century Gothic"/>
          <w:sz w:val="32"/>
          <w:lang w:val="en-US"/>
        </w:rPr>
      </w:pPr>
      <w:bookmarkStart w:id="1" w:name="_Toc434354537"/>
      <w:r>
        <w:rPr>
          <w:rFonts w:ascii="Century Gothic" w:hAnsi="Century Gothic"/>
          <w:sz w:val="32"/>
          <w:lang w:val="en-US"/>
        </w:rPr>
        <w:t>Step</w:t>
      </w:r>
      <w:r w:rsidR="00C91B50" w:rsidRPr="002615DA">
        <w:rPr>
          <w:rFonts w:ascii="Century Gothic" w:hAnsi="Century Gothic"/>
          <w:sz w:val="32"/>
          <w:lang w:val="en-US"/>
        </w:rPr>
        <w:t xml:space="preserve"> Expression Reference</w:t>
      </w:r>
      <w:bookmarkEnd w:id="1"/>
    </w:p>
    <w:p w14:paraId="30D58D7E" w14:textId="49FF8A2E" w:rsidR="00BB7869" w:rsidRPr="002615DA" w:rsidRDefault="00D410F4" w:rsidP="00BB7869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As part the HP.Core framework the Workflow </w:t>
      </w:r>
      <w:r w:rsidR="00C91B50" w:rsidRPr="002615DA">
        <w:rPr>
          <w:rFonts w:ascii="Century Gothic" w:hAnsi="Century Gothic"/>
          <w:sz w:val="24"/>
          <w:lang w:val="en-US"/>
        </w:rPr>
        <w:t xml:space="preserve">feature </w:t>
      </w:r>
      <w:r>
        <w:rPr>
          <w:rFonts w:ascii="Century Gothic" w:hAnsi="Century Gothic"/>
          <w:sz w:val="24"/>
          <w:lang w:val="en-US"/>
        </w:rPr>
        <w:t>is a</w:t>
      </w:r>
      <w:r w:rsidR="00C91B50" w:rsidRPr="002615DA">
        <w:rPr>
          <w:rFonts w:ascii="Century Gothic" w:hAnsi="Century Gothic"/>
          <w:sz w:val="24"/>
          <w:lang w:val="en-US"/>
        </w:rPr>
        <w:t xml:space="preserve"> </w:t>
      </w:r>
      <w:r>
        <w:rPr>
          <w:rFonts w:ascii="Century Gothic" w:hAnsi="Century Gothic"/>
          <w:sz w:val="24"/>
          <w:lang w:val="en-US"/>
        </w:rPr>
        <w:t xml:space="preserve">decision based expression system </w:t>
      </w:r>
      <w:r w:rsidR="00C91B50" w:rsidRPr="002615DA">
        <w:rPr>
          <w:rFonts w:ascii="Century Gothic" w:hAnsi="Century Gothic"/>
          <w:sz w:val="24"/>
          <w:lang w:val="en-US"/>
        </w:rPr>
        <w:t xml:space="preserve">designed to provide the designer with a flexible system of expressions to </w:t>
      </w:r>
      <w:r>
        <w:rPr>
          <w:rFonts w:ascii="Century Gothic" w:hAnsi="Century Gothic"/>
          <w:sz w:val="24"/>
          <w:lang w:val="en-US"/>
        </w:rPr>
        <w:t>decide on a actions based on validation checks.</w:t>
      </w:r>
    </w:p>
    <w:p w14:paraId="6F25DC10" w14:textId="5E1D40CC" w:rsidR="00C91B50" w:rsidRPr="002615DA" w:rsidRDefault="00C91B50" w:rsidP="00BB7869">
      <w:pPr>
        <w:rPr>
          <w:rFonts w:ascii="Century Gothic" w:hAnsi="Century Gothic"/>
          <w:sz w:val="24"/>
          <w:lang w:val="en-US"/>
        </w:rPr>
      </w:pPr>
      <w:r w:rsidRPr="002615DA">
        <w:rPr>
          <w:rFonts w:ascii="Century Gothic" w:hAnsi="Century Gothic"/>
          <w:sz w:val="24"/>
          <w:lang w:val="en-US"/>
        </w:rPr>
        <w:t xml:space="preserve">Each </w:t>
      </w:r>
      <w:r w:rsidR="00D410F4">
        <w:rPr>
          <w:rFonts w:ascii="Century Gothic" w:hAnsi="Century Gothic"/>
          <w:sz w:val="24"/>
          <w:lang w:val="en-US"/>
        </w:rPr>
        <w:t>Step</w:t>
      </w:r>
      <w:r w:rsidRPr="002615DA">
        <w:rPr>
          <w:rFonts w:ascii="Century Gothic" w:hAnsi="Century Gothic"/>
          <w:sz w:val="24"/>
          <w:lang w:val="en-US"/>
        </w:rPr>
        <w:t xml:space="preserve"> is comprised of a series of one or more expressions that are applied </w:t>
      </w:r>
      <w:r w:rsidR="00D410F4">
        <w:rPr>
          <w:rFonts w:ascii="Century Gothic" w:hAnsi="Century Gothic"/>
          <w:sz w:val="24"/>
          <w:lang w:val="en-US"/>
        </w:rPr>
        <w:t xml:space="preserve">if a validation expression evaluates to </w:t>
      </w:r>
      <w:r w:rsidR="00D410F4" w:rsidRPr="00D410F4">
        <w:rPr>
          <w:rFonts w:ascii="Century Gothic" w:hAnsi="Century Gothic"/>
          <w:sz w:val="24"/>
          <w:lang w:val="en-US"/>
        </w:rPr>
        <w:t>true</w:t>
      </w:r>
      <w:r w:rsidR="00D410F4">
        <w:rPr>
          <w:rFonts w:ascii="Century Gothic" w:hAnsi="Century Gothic"/>
          <w:sz w:val="24"/>
          <w:lang w:val="en-US"/>
        </w:rPr>
        <w:t xml:space="preserve">.  The goal of a step </w:t>
      </w:r>
      <w:r w:rsidRPr="002615DA">
        <w:rPr>
          <w:rFonts w:ascii="Century Gothic" w:hAnsi="Century Gothic"/>
          <w:sz w:val="24"/>
          <w:lang w:val="en-US"/>
        </w:rPr>
        <w:t xml:space="preserve">expression is </w:t>
      </w:r>
      <w:r w:rsidR="00D410F4">
        <w:rPr>
          <w:rFonts w:ascii="Century Gothic" w:hAnsi="Century Gothic"/>
          <w:sz w:val="24"/>
          <w:lang w:val="en-US"/>
        </w:rPr>
        <w:t>to perform the specified action.</w:t>
      </w:r>
    </w:p>
    <w:p w14:paraId="788F2D26" w14:textId="4F652227" w:rsidR="00BB7869" w:rsidRPr="002615DA" w:rsidRDefault="00C91B50" w:rsidP="00BB7869">
      <w:pPr>
        <w:pStyle w:val="Heading2"/>
        <w:rPr>
          <w:rFonts w:ascii="Century Gothic" w:hAnsi="Century Gothic"/>
          <w:sz w:val="32"/>
          <w:lang w:val="en-US"/>
        </w:rPr>
      </w:pPr>
      <w:bookmarkStart w:id="2" w:name="_Toc434354538"/>
      <w:r w:rsidRPr="002615DA">
        <w:rPr>
          <w:rFonts w:ascii="Century Gothic" w:hAnsi="Century Gothic"/>
          <w:sz w:val="32"/>
          <w:lang w:val="en-US"/>
        </w:rPr>
        <w:t>Expression Reference</w:t>
      </w:r>
      <w:bookmarkEnd w:id="2"/>
    </w:p>
    <w:p w14:paraId="24EE55CD" w14:textId="1671F2A4" w:rsidR="00C52AF6" w:rsidRPr="002615DA" w:rsidRDefault="00C91B50" w:rsidP="00C91B50">
      <w:pPr>
        <w:pStyle w:val="Heading3"/>
        <w:rPr>
          <w:rFonts w:ascii="Century Gothic" w:hAnsi="Century Gothic"/>
          <w:sz w:val="28"/>
          <w:lang w:val="en-US"/>
        </w:rPr>
      </w:pPr>
      <w:bookmarkStart w:id="3" w:name="_Toc434354539"/>
      <w:r w:rsidRPr="002615DA">
        <w:rPr>
          <w:rFonts w:ascii="Century Gothic" w:hAnsi="Century Gothic"/>
          <w:sz w:val="28"/>
          <w:lang w:val="en-US"/>
        </w:rPr>
        <w:t>Basic Expression Structure</w:t>
      </w:r>
      <w:bookmarkEnd w:id="3"/>
    </w:p>
    <w:p w14:paraId="333A8C73" w14:textId="6C81A911" w:rsidR="00C91B50" w:rsidRPr="001A667E" w:rsidRDefault="00C91B50" w:rsidP="00C91B50">
      <w:pPr>
        <w:rPr>
          <w:rFonts w:ascii="Century Gothic" w:hAnsi="Century Gothic"/>
          <w:sz w:val="24"/>
          <w:lang w:val="en-US"/>
        </w:rPr>
      </w:pPr>
      <w:r w:rsidRPr="002615DA">
        <w:rPr>
          <w:rFonts w:ascii="Century Gothic" w:hAnsi="Century Gothic"/>
          <w:sz w:val="24"/>
          <w:lang w:val="en-US"/>
        </w:rPr>
        <w:t>An expression is made up of a sequence of characters</w:t>
      </w:r>
      <w:r w:rsidR="00283417">
        <w:rPr>
          <w:rFonts w:ascii="Century Gothic" w:hAnsi="Century Gothic"/>
          <w:sz w:val="24"/>
          <w:lang w:val="en-US"/>
        </w:rPr>
        <w:t xml:space="preserve"> refered to as the </w:t>
      </w:r>
      <w:r w:rsidR="00283417">
        <w:rPr>
          <w:rFonts w:ascii="Century Gothic" w:hAnsi="Century Gothic"/>
          <w:b/>
          <w:i/>
          <w:sz w:val="24"/>
          <w:lang w:val="en-US"/>
        </w:rPr>
        <w:t>target</w:t>
      </w:r>
      <w:r w:rsidR="00283417">
        <w:rPr>
          <w:rFonts w:ascii="Century Gothic" w:hAnsi="Century Gothic"/>
          <w:sz w:val="24"/>
          <w:lang w:val="en-US"/>
        </w:rPr>
        <w:t>,</w:t>
      </w:r>
      <w:r w:rsidRPr="002615DA">
        <w:rPr>
          <w:rFonts w:ascii="Century Gothic" w:hAnsi="Century Gothic"/>
          <w:sz w:val="24"/>
          <w:lang w:val="en-US"/>
        </w:rPr>
        <w:t xml:space="preserve"> that when translated return </w:t>
      </w:r>
      <w:r w:rsidR="00D410F4">
        <w:rPr>
          <w:rFonts w:ascii="Century Gothic" w:hAnsi="Century Gothic"/>
          <w:sz w:val="24"/>
          <w:lang w:val="en-US"/>
        </w:rPr>
        <w:t>an Action reference</w:t>
      </w:r>
      <w:r w:rsidR="00132056" w:rsidRPr="002615DA">
        <w:rPr>
          <w:rFonts w:ascii="Century Gothic" w:hAnsi="Century Gothic"/>
          <w:sz w:val="24"/>
          <w:lang w:val="en-US"/>
        </w:rPr>
        <w:t>.</w:t>
      </w:r>
      <w:r w:rsidR="00D410F4">
        <w:rPr>
          <w:rFonts w:ascii="Century Gothic" w:hAnsi="Century Gothic"/>
          <w:sz w:val="24"/>
          <w:lang w:val="en-US"/>
        </w:rPr>
        <w:t xml:space="preserve">  The action reference is implemented in the calling component as a dynamic function.  This allows the workflow parser to pass along the execution of actions to the designer.  </w:t>
      </w:r>
      <w:r w:rsidR="001A667E">
        <w:rPr>
          <w:rFonts w:ascii="Century Gothic" w:hAnsi="Century Gothic"/>
          <w:sz w:val="24"/>
          <w:lang w:val="en-US"/>
        </w:rPr>
        <w:t xml:space="preserve">If the contents of the target column value will not be tested against an expression like those seen in 1.2.2 then the </w:t>
      </w:r>
      <w:r w:rsidR="001A667E">
        <w:rPr>
          <w:rFonts w:ascii="Century Gothic" w:hAnsi="Century Gothic"/>
          <w:b/>
          <w:sz w:val="24"/>
          <w:lang w:val="en-US"/>
        </w:rPr>
        <w:t xml:space="preserve">this </w:t>
      </w:r>
      <w:r w:rsidR="001A667E">
        <w:rPr>
          <w:rFonts w:ascii="Century Gothic" w:hAnsi="Century Gothic"/>
          <w:sz w:val="24"/>
          <w:lang w:val="en-US"/>
        </w:rPr>
        <w:t>keyword should be used.  This will instruct the expression validator to apply a</w:t>
      </w:r>
      <w:r w:rsidR="005200E4">
        <w:rPr>
          <w:rFonts w:ascii="Century Gothic" w:hAnsi="Century Gothic"/>
          <w:sz w:val="24"/>
          <w:lang w:val="en-US"/>
        </w:rPr>
        <w:t xml:space="preserve">ny </w:t>
      </w:r>
      <w:r w:rsidR="00D410F4">
        <w:rPr>
          <w:rFonts w:ascii="Century Gothic" w:hAnsi="Century Gothic"/>
          <w:sz w:val="24"/>
          <w:lang w:val="en-US"/>
        </w:rPr>
        <w:t>actions</w:t>
      </w:r>
      <w:r w:rsidR="005200E4">
        <w:rPr>
          <w:rFonts w:ascii="Century Gothic" w:hAnsi="Century Gothic"/>
          <w:sz w:val="24"/>
          <w:lang w:val="en-US"/>
        </w:rPr>
        <w:t xml:space="preserve"> if any are present to the current value being validated.</w:t>
      </w:r>
    </w:p>
    <w:p w14:paraId="404A8584" w14:textId="38A8B9A0" w:rsidR="00132056" w:rsidRDefault="00132056" w:rsidP="00C91B50">
      <w:pPr>
        <w:rPr>
          <w:rFonts w:ascii="Century Gothic" w:hAnsi="Century Gothic"/>
          <w:b/>
          <w:sz w:val="36"/>
          <w:lang w:val="en-US"/>
        </w:rPr>
      </w:pPr>
      <w:r w:rsidRPr="002615DA">
        <w:rPr>
          <w:rFonts w:ascii="Century Gothic" w:hAnsi="Century Gothic"/>
          <w:b/>
          <w:sz w:val="36"/>
          <w:lang w:val="en-US"/>
        </w:rPr>
        <w:t>Syntax</w:t>
      </w:r>
    </w:p>
    <w:p w14:paraId="3BE5F376" w14:textId="3A3E9C74" w:rsidR="00AC3033" w:rsidRPr="00AC3033" w:rsidRDefault="00AC3033" w:rsidP="00C91B50">
      <w:pPr>
        <w:rPr>
          <w:rFonts w:ascii="Century Gothic" w:hAnsi="Century Gothic"/>
          <w:i/>
          <w:sz w:val="28"/>
          <w:lang w:val="en-US"/>
        </w:rPr>
      </w:pPr>
      <w:r w:rsidRPr="00AC3033">
        <w:rPr>
          <w:rFonts w:ascii="Century Gothic" w:hAnsi="Century Gothic"/>
          <w:i/>
          <w:sz w:val="28"/>
          <w:lang w:val="en-US"/>
        </w:rPr>
        <w:t>For typical if/then expression</w:t>
      </w:r>
    </w:p>
    <w:tbl>
      <w:tblPr>
        <w:tblStyle w:val="TableGrid"/>
        <w:tblW w:w="0" w:type="auto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65"/>
        <w:gridCol w:w="9144"/>
      </w:tblGrid>
      <w:tr w:rsidR="00132056" w:rsidRPr="002615DA" w14:paraId="268A7E6E" w14:textId="77777777" w:rsidTr="00132056">
        <w:trPr>
          <w:trHeight w:val="800"/>
        </w:trPr>
        <w:tc>
          <w:tcPr>
            <w:tcW w:w="265" w:type="dxa"/>
            <w:shd w:val="clear" w:color="auto" w:fill="A8D08D" w:themeFill="accent6" w:themeFillTint="99"/>
            <w:vAlign w:val="center"/>
          </w:tcPr>
          <w:p w14:paraId="011A663D" w14:textId="77777777" w:rsidR="00132056" w:rsidRPr="002615DA" w:rsidRDefault="00132056" w:rsidP="00132056">
            <w:pPr>
              <w:rPr>
                <w:rFonts w:ascii="Century Gothic" w:hAnsi="Century Gothic"/>
                <w:b/>
                <w:sz w:val="36"/>
                <w:lang w:val="en-US"/>
              </w:rPr>
            </w:pPr>
          </w:p>
        </w:tc>
        <w:tc>
          <w:tcPr>
            <w:tcW w:w="9144" w:type="dxa"/>
            <w:vAlign w:val="center"/>
          </w:tcPr>
          <w:p w14:paraId="6CD0EFC0" w14:textId="78BCBED9" w:rsidR="00132056" w:rsidRPr="002615DA" w:rsidRDefault="00132056" w:rsidP="00947626">
            <w:pPr>
              <w:rPr>
                <w:rFonts w:ascii="Century Gothic" w:hAnsi="Century Gothic"/>
                <w:sz w:val="36"/>
                <w:lang w:val="en-US"/>
              </w:rPr>
            </w:pPr>
            <w:r w:rsidRPr="002615DA">
              <w:rPr>
                <w:rFonts w:ascii="Century Gothic" w:hAnsi="Century Gothic"/>
                <w:sz w:val="36"/>
                <w:lang w:val="en-US"/>
              </w:rPr>
              <w:t>[</w:t>
            </w:r>
            <w:r w:rsidR="00947626">
              <w:rPr>
                <w:rFonts w:ascii="Century Gothic" w:hAnsi="Century Gothic"/>
                <w:sz w:val="36"/>
                <w:lang w:val="en-US"/>
              </w:rPr>
              <w:t xml:space="preserve"> </w:t>
            </w:r>
            <w:r w:rsidR="00283417">
              <w:rPr>
                <w:rFonts w:ascii="Century Gothic" w:hAnsi="Century Gothic"/>
                <w:i/>
                <w:sz w:val="36"/>
                <w:lang w:val="en-US"/>
              </w:rPr>
              <w:t>target</w:t>
            </w:r>
            <w:r w:rsidR="004C429A">
              <w:rPr>
                <w:rFonts w:ascii="Century Gothic" w:hAnsi="Century Gothic"/>
                <w:i/>
                <w:sz w:val="36"/>
                <w:lang w:val="en-US"/>
              </w:rPr>
              <w:t>|</w:t>
            </w:r>
            <w:r w:rsidR="001E1B87">
              <w:rPr>
                <w:rFonts w:ascii="Century Gothic" w:hAnsi="Century Gothic"/>
                <w:i/>
                <w:sz w:val="36"/>
                <w:lang w:val="en-US"/>
              </w:rPr>
              <w:t>T</w:t>
            </w:r>
            <w:r w:rsidR="00D410F4">
              <w:rPr>
                <w:rFonts w:ascii="Century Gothic" w:hAnsi="Century Gothic"/>
                <w:i/>
                <w:sz w:val="36"/>
                <w:lang w:val="en-US"/>
              </w:rPr>
              <w:t>()</w:t>
            </w:r>
            <w:r w:rsidR="00AC3033">
              <w:rPr>
                <w:rFonts w:ascii="Century Gothic" w:hAnsi="Century Gothic"/>
                <w:i/>
                <w:sz w:val="36"/>
                <w:lang w:val="en-US"/>
              </w:rPr>
              <w:t xml:space="preserve"> =&gt; A()</w:t>
            </w:r>
            <w:r w:rsidRPr="002615DA">
              <w:rPr>
                <w:rFonts w:ascii="Century Gothic" w:hAnsi="Century Gothic"/>
                <w:sz w:val="36"/>
                <w:lang w:val="en-US"/>
              </w:rPr>
              <w:t xml:space="preserve"> ]</w:t>
            </w:r>
          </w:p>
        </w:tc>
      </w:tr>
    </w:tbl>
    <w:p w14:paraId="01C668A3" w14:textId="03097146" w:rsidR="00AC3033" w:rsidRPr="00AC3033" w:rsidRDefault="00AC3033" w:rsidP="00AC3033">
      <w:pPr>
        <w:rPr>
          <w:rFonts w:ascii="Century Gothic" w:hAnsi="Century Gothic"/>
          <w:i/>
          <w:sz w:val="28"/>
          <w:lang w:val="en-US"/>
        </w:rPr>
      </w:pPr>
      <w:r w:rsidRPr="00AC3033">
        <w:rPr>
          <w:rFonts w:ascii="Century Gothic" w:hAnsi="Century Gothic"/>
          <w:i/>
          <w:sz w:val="28"/>
          <w:lang w:val="en-US"/>
        </w:rPr>
        <w:t xml:space="preserve">For typical </w:t>
      </w:r>
      <w:r>
        <w:rPr>
          <w:rFonts w:ascii="Century Gothic" w:hAnsi="Century Gothic"/>
          <w:i/>
          <w:sz w:val="28"/>
          <w:lang w:val="en-US"/>
        </w:rPr>
        <w:t xml:space="preserve">action </w:t>
      </w:r>
      <w:r w:rsidRPr="00AC3033">
        <w:rPr>
          <w:rFonts w:ascii="Century Gothic" w:hAnsi="Century Gothic"/>
          <w:i/>
          <w:sz w:val="28"/>
          <w:lang w:val="en-US"/>
        </w:rPr>
        <w:t>expression</w:t>
      </w:r>
    </w:p>
    <w:tbl>
      <w:tblPr>
        <w:tblStyle w:val="TableGrid"/>
        <w:tblW w:w="0" w:type="auto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65"/>
        <w:gridCol w:w="9144"/>
      </w:tblGrid>
      <w:tr w:rsidR="00AC3033" w:rsidRPr="002615DA" w14:paraId="41DA6342" w14:textId="77777777" w:rsidTr="0096326F">
        <w:trPr>
          <w:trHeight w:val="800"/>
        </w:trPr>
        <w:tc>
          <w:tcPr>
            <w:tcW w:w="265" w:type="dxa"/>
            <w:shd w:val="clear" w:color="auto" w:fill="A8D08D" w:themeFill="accent6" w:themeFillTint="99"/>
            <w:vAlign w:val="center"/>
          </w:tcPr>
          <w:p w14:paraId="33A8EBD7" w14:textId="77777777" w:rsidR="00AC3033" w:rsidRPr="002615DA" w:rsidRDefault="00AC3033" w:rsidP="0096326F">
            <w:pPr>
              <w:rPr>
                <w:rFonts w:ascii="Century Gothic" w:hAnsi="Century Gothic"/>
                <w:b/>
                <w:sz w:val="36"/>
                <w:lang w:val="en-US"/>
              </w:rPr>
            </w:pPr>
          </w:p>
        </w:tc>
        <w:tc>
          <w:tcPr>
            <w:tcW w:w="9144" w:type="dxa"/>
            <w:vAlign w:val="center"/>
          </w:tcPr>
          <w:p w14:paraId="726C5A8A" w14:textId="13B762AB" w:rsidR="00AC3033" w:rsidRPr="002615DA" w:rsidRDefault="00AC3033" w:rsidP="0096326F">
            <w:pPr>
              <w:rPr>
                <w:rFonts w:ascii="Century Gothic" w:hAnsi="Century Gothic"/>
                <w:sz w:val="36"/>
                <w:lang w:val="en-US"/>
              </w:rPr>
            </w:pPr>
            <w:r w:rsidRPr="002615DA">
              <w:rPr>
                <w:rFonts w:ascii="Century Gothic" w:hAnsi="Century Gothic"/>
                <w:sz w:val="36"/>
                <w:lang w:val="en-US"/>
              </w:rPr>
              <w:t>[</w:t>
            </w:r>
            <w:r>
              <w:rPr>
                <w:rFonts w:ascii="Century Gothic" w:hAnsi="Century Gothic"/>
                <w:sz w:val="36"/>
                <w:lang w:val="en-US"/>
              </w:rPr>
              <w:t xml:space="preserve"> </w:t>
            </w:r>
            <w:r>
              <w:rPr>
                <w:rFonts w:ascii="Century Gothic" w:hAnsi="Century Gothic"/>
                <w:i/>
                <w:sz w:val="36"/>
                <w:lang w:val="en-US"/>
              </w:rPr>
              <w:t>target|</w:t>
            </w:r>
            <w:r>
              <w:rPr>
                <w:rFonts w:ascii="Century Gothic" w:hAnsi="Century Gothic"/>
                <w:i/>
                <w:sz w:val="36"/>
                <w:lang w:val="en-US"/>
              </w:rPr>
              <w:t>A</w:t>
            </w:r>
            <w:r>
              <w:rPr>
                <w:rFonts w:ascii="Century Gothic" w:hAnsi="Century Gothic"/>
                <w:i/>
                <w:sz w:val="36"/>
                <w:lang w:val="en-US"/>
              </w:rPr>
              <w:t>()</w:t>
            </w:r>
            <w:r w:rsidRPr="002615DA">
              <w:rPr>
                <w:rFonts w:ascii="Century Gothic" w:hAnsi="Century Gothic"/>
                <w:sz w:val="36"/>
                <w:lang w:val="en-US"/>
              </w:rPr>
              <w:t xml:space="preserve"> ]</w:t>
            </w:r>
          </w:p>
        </w:tc>
      </w:tr>
    </w:tbl>
    <w:p w14:paraId="672A2E52" w14:textId="77777777" w:rsidR="00132056" w:rsidRPr="002615DA" w:rsidRDefault="00132056" w:rsidP="00C91B50">
      <w:pPr>
        <w:rPr>
          <w:rFonts w:ascii="Century Gothic" w:hAnsi="Century Gothic"/>
          <w:b/>
          <w:sz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409"/>
      </w:tblGrid>
      <w:tr w:rsidR="002615DA" w:rsidRPr="002615DA" w14:paraId="335610EB" w14:textId="77777777" w:rsidTr="002615DA">
        <w:tc>
          <w:tcPr>
            <w:tcW w:w="9409" w:type="dxa"/>
            <w:shd w:val="clear" w:color="auto" w:fill="F2F2F2" w:themeFill="background1" w:themeFillShade="F2"/>
          </w:tcPr>
          <w:p w14:paraId="52C38F1C" w14:textId="474EF4EE" w:rsidR="00AC3033" w:rsidRPr="00AC3033" w:rsidRDefault="002615DA" w:rsidP="00AC3033">
            <w:pPr>
              <w:rPr>
                <w:rFonts w:ascii="Century Gothic" w:hAnsi="Century Gothic"/>
                <w:i/>
                <w:sz w:val="24"/>
              </w:rPr>
            </w:pPr>
            <w:r w:rsidRPr="002615DA">
              <w:rPr>
                <w:rFonts w:ascii="Century Gothic" w:hAnsi="Century Gothic"/>
                <w:b/>
                <w:sz w:val="28"/>
              </w:rPr>
              <w:t>Example</w:t>
            </w:r>
            <w:r w:rsidR="00AC3033">
              <w:rPr>
                <w:rFonts w:ascii="Century Gothic" w:hAnsi="Century Gothic"/>
                <w:b/>
                <w:sz w:val="28"/>
              </w:rPr>
              <w:t xml:space="preserve">  </w:t>
            </w:r>
            <w:r w:rsidR="00AC3033" w:rsidRPr="00AC3033">
              <w:rPr>
                <w:rFonts w:ascii="Century Gothic" w:hAnsi="Century Gothic"/>
                <w:i/>
                <w:sz w:val="24"/>
              </w:rPr>
              <w:t>For typical if/then expression</w:t>
            </w:r>
          </w:p>
        </w:tc>
      </w:tr>
      <w:tr w:rsidR="002615DA" w:rsidRPr="002615DA" w14:paraId="6798D918" w14:textId="77777777" w:rsidTr="002615DA">
        <w:trPr>
          <w:trHeight w:val="1125"/>
        </w:trPr>
        <w:tc>
          <w:tcPr>
            <w:tcW w:w="9409" w:type="dxa"/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shd w:val="clear" w:color="auto" w:fill="FFFFFF" w:themeFill="background1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57"/>
              <w:gridCol w:w="8881"/>
            </w:tblGrid>
            <w:tr w:rsidR="002615DA" w:rsidRPr="002615DA" w14:paraId="7F6F2744" w14:textId="77777777" w:rsidTr="002615DA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3DFF1464" w14:textId="77777777" w:rsidR="002615DA" w:rsidRPr="002615DA" w:rsidRDefault="002615DA" w:rsidP="002615DA">
                  <w:pPr>
                    <w:rPr>
                      <w:rFonts w:ascii="Century Gothic" w:hAnsi="Century Gothic"/>
                      <w:b/>
                      <w:sz w:val="36"/>
                      <w:lang w:val="en-US"/>
                    </w:rPr>
                  </w:pP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7DBE0FC0" w14:textId="56961370" w:rsidR="002615DA" w:rsidRPr="002615DA" w:rsidRDefault="00AC3033" w:rsidP="002615DA">
                  <w:pPr>
                    <w:rPr>
                      <w:rFonts w:ascii="Century Gothic" w:hAnsi="Century Gothic"/>
                      <w:sz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lang w:val="en-US"/>
                    </w:rPr>
                    <w:t>[ this | eq(10) =&gt; set(projectStatus, 4) ]</w:t>
                  </w:r>
                </w:p>
              </w:tc>
            </w:tr>
          </w:tbl>
          <w:p w14:paraId="07D3E8DB" w14:textId="77777777" w:rsidR="002615DA" w:rsidRPr="002615DA" w:rsidRDefault="002615DA" w:rsidP="002615DA">
            <w:pPr>
              <w:rPr>
                <w:rFonts w:ascii="Century Gothic" w:hAnsi="Century Gothic"/>
                <w:sz w:val="24"/>
              </w:rPr>
            </w:pPr>
          </w:p>
        </w:tc>
      </w:tr>
    </w:tbl>
    <w:p w14:paraId="087A87F1" w14:textId="77777777" w:rsidR="00AC3033" w:rsidRDefault="00AC3033" w:rsidP="004E17EE">
      <w:pPr>
        <w:rPr>
          <w:rFonts w:ascii="Century Gothic" w:hAnsi="Century Gothic"/>
          <w:sz w:val="24"/>
        </w:rPr>
      </w:pPr>
    </w:p>
    <w:p w14:paraId="49FEBF3B" w14:textId="77777777" w:rsidR="004E17EE" w:rsidRDefault="002615DA" w:rsidP="004E17E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Example explained:</w:t>
      </w:r>
    </w:p>
    <w:p w14:paraId="29D20145" w14:textId="541BED5C" w:rsidR="002615DA" w:rsidRPr="00D410F4" w:rsidRDefault="002615DA" w:rsidP="004E17EE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[ … ]</w:t>
      </w:r>
      <w:r>
        <w:rPr>
          <w:rFonts w:ascii="Century Gothic" w:hAnsi="Century Gothic"/>
          <w:sz w:val="24"/>
        </w:rPr>
        <w:t xml:space="preserve"> are the brackets that denote an expression.  What is contained will be evaluated to a</w:t>
      </w:r>
      <w:r w:rsidR="00AC3033">
        <w:rPr>
          <w:rFonts w:ascii="Century Gothic" w:hAnsi="Century Gothic"/>
          <w:sz w:val="24"/>
        </w:rPr>
        <w:t xml:space="preserve"> conditional action or simple </w:t>
      </w:r>
      <w:r w:rsidR="00D410F4">
        <w:rPr>
          <w:rFonts w:ascii="Century Gothic" w:hAnsi="Century Gothic"/>
          <w:sz w:val="24"/>
        </w:rPr>
        <w:t xml:space="preserve">action based on the </w:t>
      </w:r>
      <w:r w:rsidR="00D410F4">
        <w:rPr>
          <w:rFonts w:ascii="Century Gothic" w:hAnsi="Century Gothic"/>
          <w:b/>
          <w:sz w:val="24"/>
        </w:rPr>
        <w:t>target</w:t>
      </w:r>
      <w:r w:rsidR="00D410F4">
        <w:rPr>
          <w:rFonts w:ascii="Century Gothic" w:hAnsi="Century Gothic"/>
          <w:sz w:val="24"/>
        </w:rPr>
        <w:t>.</w:t>
      </w:r>
    </w:p>
    <w:p w14:paraId="1A793F8C" w14:textId="2CE34188" w:rsidR="00AC3033" w:rsidRDefault="00AC3033" w:rsidP="007B410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lastRenderedPageBreak/>
        <w:t>eq(</w:t>
      </w:r>
      <w:r w:rsidR="002615DA">
        <w:rPr>
          <w:rFonts w:ascii="Century Gothic" w:hAnsi="Century Gothic"/>
          <w:b/>
          <w:sz w:val="24"/>
        </w:rPr>
        <w:t xml:space="preserve"> </w:t>
      </w:r>
      <w:r w:rsidR="002615DA" w:rsidRPr="002615DA">
        <w:rPr>
          <w:rFonts w:ascii="Century Gothic" w:hAnsi="Century Gothic"/>
          <w:b/>
          <w:sz w:val="24"/>
        </w:rPr>
        <w:t>10</w:t>
      </w:r>
      <w:r>
        <w:rPr>
          <w:rFonts w:ascii="Century Gothic" w:hAnsi="Century Gothic"/>
          <w:b/>
          <w:sz w:val="24"/>
        </w:rPr>
        <w:t xml:space="preserve"> )</w:t>
      </w:r>
      <w:r w:rsidR="002615DA">
        <w:rPr>
          <w:rFonts w:ascii="Century Gothic" w:hAnsi="Century Gothic"/>
          <w:b/>
          <w:sz w:val="24"/>
        </w:rPr>
        <w:t xml:space="preserve"> </w:t>
      </w:r>
      <w:r w:rsidR="002615DA">
        <w:rPr>
          <w:rFonts w:ascii="Century Gothic" w:hAnsi="Century Gothic"/>
          <w:sz w:val="24"/>
        </w:rPr>
        <w:t xml:space="preserve">is an expression to be evaluated against </w:t>
      </w:r>
      <w:r w:rsidR="00D31C4F">
        <w:rPr>
          <w:rFonts w:ascii="Century Gothic" w:hAnsi="Century Gothic"/>
          <w:sz w:val="24"/>
        </w:rPr>
        <w:t>the value of “this”</w:t>
      </w:r>
      <w:r w:rsidR="001E1B87">
        <w:rPr>
          <w:rFonts w:ascii="Century Gothic" w:hAnsi="Century Gothic"/>
          <w:sz w:val="24"/>
        </w:rPr>
        <w:t xml:space="preserve"> as a boolean</w:t>
      </w:r>
      <w:r w:rsidR="00D31C4F">
        <w:rPr>
          <w:rFonts w:ascii="Century Gothic" w:hAnsi="Century Gothic"/>
          <w:sz w:val="24"/>
        </w:rPr>
        <w:t xml:space="preserve">.  </w:t>
      </w:r>
      <w:r w:rsidR="001E1B87">
        <w:rPr>
          <w:rFonts w:ascii="Century Gothic" w:hAnsi="Century Gothic"/>
          <w:sz w:val="24"/>
        </w:rPr>
        <w:t xml:space="preserve">If the check evaluates to true then </w:t>
      </w:r>
      <w:r w:rsidR="00D31C4F">
        <w:rPr>
          <w:rFonts w:ascii="Century Gothic" w:hAnsi="Century Gothic"/>
          <w:sz w:val="24"/>
        </w:rPr>
        <w:t xml:space="preserve">what is to the right of the </w:t>
      </w:r>
      <w:r w:rsidR="00FD6F8D" w:rsidRPr="001E1B87">
        <w:rPr>
          <w:rFonts w:ascii="Century Gothic" w:hAnsi="Century Gothic"/>
          <w:b/>
          <w:sz w:val="24"/>
        </w:rPr>
        <w:t>=&gt;</w:t>
      </w:r>
      <w:r w:rsidR="00D31C4F">
        <w:rPr>
          <w:rFonts w:ascii="Century Gothic" w:hAnsi="Century Gothic"/>
          <w:sz w:val="24"/>
        </w:rPr>
        <w:t xml:space="preserve">, </w:t>
      </w:r>
      <w:r w:rsidR="00D31C4F">
        <w:rPr>
          <w:rFonts w:ascii="Century Gothic" w:hAnsi="Century Gothic"/>
          <w:b/>
          <w:sz w:val="24"/>
        </w:rPr>
        <w:t>set ( projectStatus, 4 )</w:t>
      </w:r>
      <w:r w:rsidR="00D31C4F">
        <w:rPr>
          <w:rFonts w:ascii="Century Gothic" w:hAnsi="Century Gothic"/>
          <w:sz w:val="24"/>
        </w:rPr>
        <w:t>,</w:t>
      </w:r>
      <w:r w:rsidR="001E1B87">
        <w:rPr>
          <w:rFonts w:ascii="Century Gothic" w:hAnsi="Century Gothic"/>
          <w:sz w:val="24"/>
        </w:rPr>
        <w:t xml:space="preserve"> will be evaluated and executed.</w:t>
      </w:r>
    </w:p>
    <w:p w14:paraId="2555D088" w14:textId="77777777" w:rsidR="001E1B87" w:rsidRDefault="001E1B87" w:rsidP="007B4105">
      <w:pPr>
        <w:rPr>
          <w:rFonts w:ascii="Century Gothic" w:hAnsi="Century Gothic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409"/>
      </w:tblGrid>
      <w:tr w:rsidR="00AC3033" w:rsidRPr="002615DA" w14:paraId="13BC8144" w14:textId="77777777" w:rsidTr="0096326F">
        <w:tc>
          <w:tcPr>
            <w:tcW w:w="9409" w:type="dxa"/>
            <w:shd w:val="clear" w:color="auto" w:fill="F2F2F2" w:themeFill="background1" w:themeFillShade="F2"/>
          </w:tcPr>
          <w:p w14:paraId="2625D080" w14:textId="354C7003" w:rsidR="00AC3033" w:rsidRPr="00AC3033" w:rsidRDefault="00AC3033" w:rsidP="0096326F">
            <w:pPr>
              <w:rPr>
                <w:rFonts w:ascii="Century Gothic" w:hAnsi="Century Gothic"/>
                <w:i/>
                <w:sz w:val="24"/>
              </w:rPr>
            </w:pPr>
            <w:r w:rsidRPr="002615DA">
              <w:rPr>
                <w:rFonts w:ascii="Century Gothic" w:hAnsi="Century Gothic"/>
                <w:b/>
                <w:sz w:val="28"/>
              </w:rPr>
              <w:t>Example</w:t>
            </w:r>
            <w:r>
              <w:rPr>
                <w:rFonts w:ascii="Century Gothic" w:hAnsi="Century Gothic"/>
                <w:b/>
                <w:sz w:val="28"/>
              </w:rPr>
              <w:t xml:space="preserve">  </w:t>
            </w:r>
            <w:r w:rsidRPr="00AC3033">
              <w:rPr>
                <w:rFonts w:ascii="Century Gothic" w:hAnsi="Century Gothic"/>
                <w:i/>
                <w:sz w:val="24"/>
              </w:rPr>
              <w:t>For typical</w:t>
            </w:r>
            <w:r>
              <w:rPr>
                <w:rFonts w:ascii="Century Gothic" w:hAnsi="Century Gothic"/>
                <w:i/>
                <w:sz w:val="24"/>
              </w:rPr>
              <w:t xml:space="preserve"> </w:t>
            </w:r>
            <w:r w:rsidR="00D31C4F">
              <w:rPr>
                <w:rFonts w:ascii="Century Gothic" w:hAnsi="Century Gothic"/>
                <w:i/>
                <w:sz w:val="24"/>
              </w:rPr>
              <w:t xml:space="preserve">simple </w:t>
            </w:r>
            <w:r>
              <w:rPr>
                <w:rFonts w:ascii="Century Gothic" w:hAnsi="Century Gothic"/>
                <w:i/>
                <w:sz w:val="24"/>
              </w:rPr>
              <w:t>action</w:t>
            </w:r>
            <w:r w:rsidRPr="00AC3033">
              <w:rPr>
                <w:rFonts w:ascii="Century Gothic" w:hAnsi="Century Gothic"/>
                <w:i/>
                <w:sz w:val="24"/>
              </w:rPr>
              <w:t xml:space="preserve"> expression</w:t>
            </w:r>
          </w:p>
        </w:tc>
      </w:tr>
      <w:tr w:rsidR="00AC3033" w:rsidRPr="002615DA" w14:paraId="29EE625E" w14:textId="77777777" w:rsidTr="0096326F">
        <w:trPr>
          <w:trHeight w:val="1125"/>
        </w:trPr>
        <w:tc>
          <w:tcPr>
            <w:tcW w:w="9409" w:type="dxa"/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shd w:val="clear" w:color="auto" w:fill="FFFFFF" w:themeFill="background1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57"/>
              <w:gridCol w:w="8881"/>
            </w:tblGrid>
            <w:tr w:rsidR="00AC3033" w:rsidRPr="002615DA" w14:paraId="3BC4AED9" w14:textId="77777777" w:rsidTr="0096326F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41B7BB1C" w14:textId="77777777" w:rsidR="00AC3033" w:rsidRPr="002615DA" w:rsidRDefault="00AC3033" w:rsidP="0096326F">
                  <w:pPr>
                    <w:rPr>
                      <w:rFonts w:ascii="Century Gothic" w:hAnsi="Century Gothic"/>
                      <w:b/>
                      <w:sz w:val="36"/>
                      <w:lang w:val="en-US"/>
                    </w:rPr>
                  </w:pP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4091FDDC" w14:textId="75CAF362" w:rsidR="00AC3033" w:rsidRPr="002615DA" w:rsidRDefault="00AC3033" w:rsidP="0096326F">
                  <w:pPr>
                    <w:rPr>
                      <w:rFonts w:ascii="Century Gothic" w:hAnsi="Century Gothic"/>
                      <w:sz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lang w:val="en-US"/>
                    </w:rPr>
                    <w:t>[ this | set(projectStatus, 4) ]</w:t>
                  </w:r>
                </w:p>
              </w:tc>
            </w:tr>
          </w:tbl>
          <w:p w14:paraId="03749114" w14:textId="77777777" w:rsidR="00AC3033" w:rsidRPr="002615DA" w:rsidRDefault="00AC3033" w:rsidP="0096326F">
            <w:pPr>
              <w:rPr>
                <w:rFonts w:ascii="Century Gothic" w:hAnsi="Century Gothic"/>
                <w:sz w:val="24"/>
              </w:rPr>
            </w:pPr>
          </w:p>
        </w:tc>
      </w:tr>
    </w:tbl>
    <w:p w14:paraId="7A0AD1E4" w14:textId="77777777" w:rsidR="001E1B87" w:rsidRDefault="001E1B87" w:rsidP="001E1B8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Example explained:</w:t>
      </w:r>
    </w:p>
    <w:p w14:paraId="3A942EB0" w14:textId="60C018F4" w:rsidR="001E1B87" w:rsidRPr="001E1B87" w:rsidRDefault="001E1B87" w:rsidP="001E1B87">
      <w:pPr>
        <w:rPr>
          <w:rFonts w:ascii="Century Gothic" w:hAnsi="Century Gothic"/>
          <w:sz w:val="24"/>
        </w:rPr>
      </w:pPr>
      <w:r w:rsidRPr="001E1B87">
        <w:rPr>
          <w:rFonts w:ascii="Century Gothic" w:hAnsi="Century Gothic"/>
          <w:sz w:val="24"/>
        </w:rPr>
        <w:t>Just</w:t>
      </w:r>
      <w:r>
        <w:rPr>
          <w:rFonts w:ascii="Century Gothic" w:hAnsi="Century Gothic"/>
          <w:sz w:val="24"/>
        </w:rPr>
        <w:t xml:space="preserve"> as in the if/then example, the </w:t>
      </w:r>
      <w:r>
        <w:rPr>
          <w:rFonts w:ascii="Century Gothic" w:hAnsi="Century Gothic"/>
          <w:b/>
          <w:sz w:val="24"/>
        </w:rPr>
        <w:t>[ … ]</w:t>
      </w:r>
      <w:r>
        <w:rPr>
          <w:rFonts w:ascii="Century Gothic" w:hAnsi="Century Gothic"/>
          <w:sz w:val="24"/>
        </w:rPr>
        <w:t xml:space="preserve"> are the brackets that denote an expression.  What is contained will be evaluated to a</w:t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simple action based</w:t>
      </w:r>
      <w:r>
        <w:rPr>
          <w:rFonts w:ascii="Century Gothic" w:hAnsi="Century Gothic"/>
          <w:sz w:val="24"/>
        </w:rPr>
        <w:t>.  W</w:t>
      </w:r>
      <w:r>
        <w:rPr>
          <w:rFonts w:ascii="Century Gothic" w:hAnsi="Century Gothic"/>
          <w:sz w:val="24"/>
        </w:rPr>
        <w:t>hat is to the right of the</w:t>
      </w:r>
      <w:r>
        <w:rPr>
          <w:rFonts w:ascii="Century Gothic" w:hAnsi="Century Gothic"/>
          <w:sz w:val="24"/>
        </w:rPr>
        <w:t xml:space="preserve"> pipe, “|”</w:t>
      </w:r>
      <w:r>
        <w:rPr>
          <w:rFonts w:ascii="Century Gothic" w:hAnsi="Century Gothic"/>
          <w:sz w:val="24"/>
        </w:rPr>
        <w:t xml:space="preserve">, </w:t>
      </w:r>
      <w:r>
        <w:rPr>
          <w:rFonts w:ascii="Century Gothic" w:hAnsi="Century Gothic"/>
          <w:b/>
          <w:sz w:val="24"/>
        </w:rPr>
        <w:t>set ( projectStatus, 4 )</w:t>
      </w:r>
      <w:r>
        <w:rPr>
          <w:rFonts w:ascii="Century Gothic" w:hAnsi="Century Gothic"/>
          <w:sz w:val="24"/>
        </w:rPr>
        <w:t>, will be evaluated and executed</w:t>
      </w:r>
      <w:r>
        <w:rPr>
          <w:rFonts w:ascii="Century Gothic" w:hAnsi="Century Gothic"/>
          <w:sz w:val="24"/>
        </w:rPr>
        <w:t xml:space="preserve"> without any conditions.</w:t>
      </w:r>
    </w:p>
    <w:p w14:paraId="23F219D5" w14:textId="77777777" w:rsidR="001E1B87" w:rsidRPr="001E1B87" w:rsidRDefault="001E1B87" w:rsidP="001E1B87">
      <w:pPr>
        <w:rPr>
          <w:rFonts w:ascii="Century Gothic" w:hAnsi="Century Gothic"/>
          <w:sz w:val="22"/>
        </w:rPr>
      </w:pPr>
    </w:p>
    <w:p w14:paraId="1811AF29" w14:textId="7EA53BBF" w:rsidR="001E1B87" w:rsidRPr="00D31C4F" w:rsidRDefault="001E1B87" w:rsidP="001E1B87">
      <w:pPr>
        <w:rPr>
          <w:rFonts w:ascii="Century Gothic" w:hAnsi="Century Gothic"/>
          <w:i/>
          <w:color w:val="C00000"/>
          <w:sz w:val="22"/>
        </w:rPr>
      </w:pPr>
      <w:r w:rsidRPr="00D31C4F">
        <w:rPr>
          <w:rFonts w:ascii="Century Gothic" w:hAnsi="Century Gothic"/>
          <w:i/>
          <w:color w:val="C00000"/>
          <w:sz w:val="22"/>
        </w:rPr>
        <w:t>Note:  If an action has not been implemented in the calling component then there is no execution.</w:t>
      </w:r>
    </w:p>
    <w:p w14:paraId="7609CB41" w14:textId="77777777" w:rsidR="00AC3033" w:rsidRDefault="00AC3033" w:rsidP="007B4105">
      <w:pPr>
        <w:rPr>
          <w:rFonts w:ascii="Century Gothic" w:hAnsi="Century Gothic"/>
        </w:rPr>
      </w:pPr>
    </w:p>
    <w:p w14:paraId="6A801A26" w14:textId="14B5D981" w:rsidR="002615DA" w:rsidRDefault="002615DA" w:rsidP="002615DA">
      <w:pPr>
        <w:pStyle w:val="Heading3"/>
        <w:rPr>
          <w:rFonts w:ascii="Century Gothic" w:hAnsi="Century Gothic"/>
          <w:sz w:val="28"/>
          <w:lang w:val="en-US"/>
        </w:rPr>
      </w:pPr>
      <w:bookmarkStart w:id="4" w:name="_Toc434354540"/>
      <w:r>
        <w:rPr>
          <w:rFonts w:ascii="Century Gothic" w:hAnsi="Century Gothic"/>
          <w:sz w:val="28"/>
          <w:lang w:val="en-US"/>
        </w:rPr>
        <w:t>Expressions</w:t>
      </w:r>
      <w:bookmarkEnd w:id="4"/>
    </w:p>
    <w:p w14:paraId="51CBDBA3" w14:textId="1AC25F01" w:rsidR="002615DA" w:rsidRDefault="002615DA" w:rsidP="002615DA">
      <w:pPr>
        <w:pStyle w:val="Heading4"/>
        <w:rPr>
          <w:rFonts w:ascii="Century Gothic" w:hAnsi="Century Gothic"/>
          <w:sz w:val="24"/>
          <w:lang w:val="en-US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64"/>
      </w:tblGrid>
      <w:tr w:rsidR="004C429A" w:rsidRPr="004C429A" w14:paraId="5A088E35" w14:textId="77777777" w:rsidTr="00024598">
        <w:tc>
          <w:tcPr>
            <w:tcW w:w="2245" w:type="dxa"/>
          </w:tcPr>
          <w:p w14:paraId="157B2607" w14:textId="3D4CC402" w:rsidR="004C429A" w:rsidRDefault="001E1B87" w:rsidP="00F704F1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T</w:t>
            </w:r>
            <w:r w:rsidR="0072601F">
              <w:rPr>
                <w:rFonts w:ascii="Century Gothic" w:hAnsi="Century Gothic"/>
                <w:b/>
                <w:sz w:val="24"/>
                <w:lang w:val="en-US"/>
              </w:rPr>
              <w:t>ests</w:t>
            </w:r>
          </w:p>
          <w:p w14:paraId="54D1D274" w14:textId="77777777" w:rsidR="00167DCB" w:rsidRPr="00167DCB" w:rsidRDefault="00167DCB" w:rsidP="00F704F1">
            <w:pPr>
              <w:rPr>
                <w:rFonts w:ascii="Century Gothic" w:hAnsi="Century Gothic"/>
                <w:lang w:val="en-US"/>
              </w:rPr>
            </w:pPr>
            <w:r w:rsidRPr="00167DCB">
              <w:rPr>
                <w:rFonts w:ascii="Century Gothic" w:hAnsi="Century Gothic"/>
                <w:lang w:val="en-US"/>
              </w:rPr>
              <w:t>All test expressions must include the “else” side of the test with the following syntax:</w:t>
            </w:r>
          </w:p>
          <w:p w14:paraId="4C1A1F7F" w14:textId="4E661A74" w:rsidR="00167DCB" w:rsidRPr="00167DCB" w:rsidRDefault="00167DCB" w:rsidP="00167DCB">
            <w:pPr>
              <w:rPr>
                <w:rFonts w:ascii="Century Gothic" w:hAnsi="Century Gothic"/>
                <w:b/>
                <w:i/>
                <w:sz w:val="24"/>
                <w:lang w:val="en-US"/>
              </w:rPr>
            </w:pPr>
            <w:r w:rsidRPr="00167DCB">
              <w:rPr>
                <w:rFonts w:ascii="Century Gothic" w:hAnsi="Century Gothic"/>
                <w:b/>
                <w:i/>
                <w:lang w:val="en-US"/>
              </w:rPr>
              <w:t>[this | t() =&gt; a() ]</w:t>
            </w:r>
          </w:p>
        </w:tc>
        <w:tc>
          <w:tcPr>
            <w:tcW w:w="7164" w:type="dxa"/>
          </w:tcPr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237"/>
              <w:gridCol w:w="808"/>
              <w:gridCol w:w="2700"/>
              <w:gridCol w:w="3179"/>
            </w:tblGrid>
            <w:tr w:rsidR="0072601F" w14:paraId="6C9B83A9" w14:textId="4F19864C" w:rsidTr="008923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5" w:type="dxa"/>
                  <w:gridSpan w:val="2"/>
                  <w:vAlign w:val="center"/>
                </w:tcPr>
                <w:p w14:paraId="53D761D9" w14:textId="7674BE1F" w:rsidR="0072601F" w:rsidRDefault="0072601F" w:rsidP="0072601F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Action</w:t>
                  </w:r>
                </w:p>
              </w:tc>
              <w:tc>
                <w:tcPr>
                  <w:tcW w:w="2700" w:type="dxa"/>
                  <w:vAlign w:val="center"/>
                </w:tcPr>
                <w:p w14:paraId="08D19DB3" w14:textId="0D55158C" w:rsidR="0072601F" w:rsidRDefault="0072601F" w:rsidP="007260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Description</w:t>
                  </w:r>
                </w:p>
              </w:tc>
              <w:tc>
                <w:tcPr>
                  <w:tcW w:w="3179" w:type="dxa"/>
                  <w:vAlign w:val="center"/>
                </w:tcPr>
                <w:p w14:paraId="2141E8E7" w14:textId="12300590" w:rsidR="0072601F" w:rsidRDefault="0072601F" w:rsidP="007260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Syntax</w:t>
                  </w:r>
                </w:p>
              </w:tc>
            </w:tr>
            <w:tr w:rsidR="0072601F" w14:paraId="478D5115" w14:textId="7890B0D8" w:rsidTr="00892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6BB24B9B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2516EDF8" w14:textId="0336E315" w:rsidR="0072601F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eq</w:t>
                  </w:r>
                </w:p>
              </w:tc>
              <w:tc>
                <w:tcPr>
                  <w:tcW w:w="2700" w:type="dxa"/>
                </w:tcPr>
                <w:p w14:paraId="7BB41B6E" w14:textId="47AEC142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lang w:val="en-US"/>
                    </w:rPr>
                    <w:t>Equal To</w:t>
                  </w:r>
                </w:p>
              </w:tc>
              <w:tc>
                <w:tcPr>
                  <w:tcW w:w="3179" w:type="dxa"/>
                </w:tcPr>
                <w:p w14:paraId="61DD40E2" w14:textId="3AD0100D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eq( ##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72601F" w14:paraId="203FC25F" w14:textId="000F0608" w:rsidTr="00892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7C9DA6B5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6671BBEE" w14:textId="320B753E" w:rsidR="0072601F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gt</w:t>
                  </w:r>
                </w:p>
              </w:tc>
              <w:tc>
                <w:tcPr>
                  <w:tcW w:w="2700" w:type="dxa"/>
                </w:tcPr>
                <w:p w14:paraId="3443988A" w14:textId="3AE0E808" w:rsidR="0072601F" w:rsidRPr="00167DCB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lang w:val="en-US"/>
                    </w:rPr>
                    <w:t>Greater Than</w:t>
                  </w:r>
                </w:p>
              </w:tc>
              <w:tc>
                <w:tcPr>
                  <w:tcW w:w="3179" w:type="dxa"/>
                </w:tcPr>
                <w:p w14:paraId="5B6711E8" w14:textId="2E37514C" w:rsidR="0072601F" w:rsidRPr="00167DCB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 xml:space="preserve">[this | 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gt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( ##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72601F" w14:paraId="0B05A275" w14:textId="1C26E98C" w:rsidTr="00892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03077DEE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5FAD423F" w14:textId="47117021" w:rsidR="0072601F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lt</w:t>
                  </w:r>
                </w:p>
              </w:tc>
              <w:tc>
                <w:tcPr>
                  <w:tcW w:w="2700" w:type="dxa"/>
                </w:tcPr>
                <w:p w14:paraId="14D358E2" w14:textId="16A600CE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lang w:val="en-US"/>
                    </w:rPr>
                    <w:t>Less Than</w:t>
                  </w:r>
                </w:p>
              </w:tc>
              <w:tc>
                <w:tcPr>
                  <w:tcW w:w="3179" w:type="dxa"/>
                </w:tcPr>
                <w:p w14:paraId="1BDA4F11" w14:textId="7BDBEF4F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 xml:space="preserve">[this | 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lt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( ##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72601F" w14:paraId="29DC2C2B" w14:textId="2118034A" w:rsidTr="00892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53FFDF44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1ACA3EFF" w14:textId="5176C211" w:rsidR="0072601F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gte</w:t>
                  </w:r>
                </w:p>
              </w:tc>
              <w:tc>
                <w:tcPr>
                  <w:tcW w:w="2700" w:type="dxa"/>
                </w:tcPr>
                <w:p w14:paraId="5BDF8AC9" w14:textId="7F4FBE10" w:rsidR="0072601F" w:rsidRPr="00167DCB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lang w:val="en-US"/>
                    </w:rPr>
                    <w:t>Greater than or Equal To</w:t>
                  </w:r>
                </w:p>
              </w:tc>
              <w:tc>
                <w:tcPr>
                  <w:tcW w:w="3179" w:type="dxa"/>
                </w:tcPr>
                <w:p w14:paraId="3142E5A1" w14:textId="7E58611C" w:rsidR="0072601F" w:rsidRPr="00167DCB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 xml:space="preserve">[this | 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gte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( ##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72601F" w14:paraId="7405992D" w14:textId="6E7030B8" w:rsidTr="00892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1DCCB968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333A0A8A" w14:textId="1A25236D" w:rsidR="0072601F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lte</w:t>
                  </w:r>
                </w:p>
              </w:tc>
              <w:tc>
                <w:tcPr>
                  <w:tcW w:w="2700" w:type="dxa"/>
                </w:tcPr>
                <w:p w14:paraId="54B30CF9" w14:textId="233BC94F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>
                    <w:rPr>
                      <w:rFonts w:ascii="Century Gothic" w:hAnsi="Century Gothic"/>
                      <w:lang w:val="en-US"/>
                    </w:rPr>
                    <w:t>Less Than or Equal To</w:t>
                  </w:r>
                </w:p>
              </w:tc>
              <w:tc>
                <w:tcPr>
                  <w:tcW w:w="3179" w:type="dxa"/>
                </w:tcPr>
                <w:p w14:paraId="6109FDE0" w14:textId="31C47587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lte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( ##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72601F" w14:paraId="4A6C5E38" w14:textId="575D5E1A" w:rsidTr="00892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3C179286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0BE797DE" w14:textId="51F19615" w:rsidR="0072601F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btw</w:t>
                  </w:r>
                </w:p>
              </w:tc>
              <w:tc>
                <w:tcPr>
                  <w:tcW w:w="2700" w:type="dxa"/>
                </w:tcPr>
                <w:p w14:paraId="4EB9D6A5" w14:textId="65482FA2" w:rsidR="0072601F" w:rsidRPr="00167DCB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>
                    <w:rPr>
                      <w:rFonts w:ascii="Century Gothic" w:hAnsi="Century Gothic"/>
                      <w:lang w:val="en-US"/>
                    </w:rPr>
                    <w:t>Between</w:t>
                  </w:r>
                </w:p>
              </w:tc>
              <w:tc>
                <w:tcPr>
                  <w:tcW w:w="3179" w:type="dxa"/>
                </w:tcPr>
                <w:p w14:paraId="33F00295" w14:textId="57820691" w:rsidR="0072601F" w:rsidRPr="00167DCB" w:rsidRDefault="0072601F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btw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( ##</w:t>
                  </w:r>
                  <w:r>
                    <w:rPr>
                      <w:rFonts w:ascii="Century Gothic" w:hAnsi="Century Gothic"/>
                      <w:sz w:val="22"/>
                      <w:lang w:val="en-US"/>
                    </w:rPr>
                    <w:t>, ##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 xml:space="preserve">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72601F" w14:paraId="77197E6E" w14:textId="199FE0A1" w:rsidTr="00892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5BB9E35E" w14:textId="77777777" w:rsidR="0072601F" w:rsidRPr="0072601F" w:rsidRDefault="0072601F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61133DBA" w14:textId="1CDBD266" w:rsidR="0072601F" w:rsidRDefault="00892307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I</w:t>
                  </w:r>
                  <w:r w:rsidR="0072601F">
                    <w:rPr>
                      <w:rFonts w:ascii="Century Gothic" w:hAnsi="Century Gothic"/>
                      <w:sz w:val="24"/>
                      <w:lang w:val="en-US"/>
                    </w:rPr>
                    <w:t>n</w:t>
                  </w:r>
                </w:p>
              </w:tc>
              <w:tc>
                <w:tcPr>
                  <w:tcW w:w="2700" w:type="dxa"/>
                </w:tcPr>
                <w:p w14:paraId="3A33FA63" w14:textId="2574880F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>
                    <w:rPr>
                      <w:rFonts w:ascii="Century Gothic" w:hAnsi="Century Gothic"/>
                      <w:lang w:val="en-US"/>
                    </w:rPr>
                    <w:t>In</w:t>
                  </w:r>
                </w:p>
              </w:tc>
              <w:tc>
                <w:tcPr>
                  <w:tcW w:w="3179" w:type="dxa"/>
                </w:tcPr>
                <w:p w14:paraId="25793371" w14:textId="70453B0A" w:rsidR="0072601F" w:rsidRPr="00167DCB" w:rsidRDefault="0072601F" w:rsidP="003879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in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( #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#, #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#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, ##</w:t>
                  </w: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 xml:space="preserve"> )</w:t>
                  </w:r>
                  <w:r w:rsidR="00892307">
                    <w:rPr>
                      <w:rFonts w:ascii="Century Gothic" w:hAnsi="Century Gothic"/>
                      <w:sz w:val="22"/>
                      <w:lang w:val="en-US"/>
                    </w:rPr>
                    <w:t xml:space="preserve"> …</w:t>
                  </w:r>
                </w:p>
              </w:tc>
            </w:tr>
            <w:tr w:rsidR="00892307" w14:paraId="619623B1" w14:textId="77777777" w:rsidTr="00892307">
              <w:trPr>
                <w:trHeight w:val="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3BC6C751" w14:textId="77777777" w:rsidR="00892307" w:rsidRPr="0072601F" w:rsidRDefault="00892307" w:rsidP="003879EB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808" w:type="dxa"/>
                </w:tcPr>
                <w:p w14:paraId="53D941E5" w14:textId="38CCAE9D" w:rsidR="00892307" w:rsidRDefault="00892307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len</w:t>
                  </w:r>
                </w:p>
              </w:tc>
              <w:tc>
                <w:tcPr>
                  <w:tcW w:w="2700" w:type="dxa"/>
                </w:tcPr>
                <w:p w14:paraId="50C1D55E" w14:textId="1D506412" w:rsidR="00892307" w:rsidRDefault="00892307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>
                    <w:rPr>
                      <w:rFonts w:ascii="Century Gothic" w:hAnsi="Century Gothic"/>
                      <w:lang w:val="en-US"/>
                    </w:rPr>
                    <w:t>Length</w:t>
                  </w:r>
                </w:p>
              </w:tc>
              <w:tc>
                <w:tcPr>
                  <w:tcW w:w="3179" w:type="dxa"/>
                </w:tcPr>
                <w:p w14:paraId="3723558F" w14:textId="3D468BA3" w:rsidR="00892307" w:rsidRPr="00167DCB" w:rsidRDefault="00892307" w:rsidP="003879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>
                    <w:rPr>
                      <w:rFonts w:ascii="Century Gothic" w:hAnsi="Century Gothic"/>
                      <w:sz w:val="22"/>
                      <w:lang w:val="en-US"/>
                    </w:rPr>
                    <w:t>[this | len(##) …</w:t>
                  </w:r>
                </w:p>
              </w:tc>
            </w:tr>
          </w:tbl>
          <w:p w14:paraId="21371AB6" w14:textId="572B4BB0" w:rsidR="004C429A" w:rsidRPr="004C429A" w:rsidRDefault="004C429A" w:rsidP="003879EB">
            <w:pPr>
              <w:rPr>
                <w:rFonts w:ascii="Century Gothic" w:hAnsi="Century Gothic"/>
                <w:sz w:val="24"/>
                <w:lang w:val="en-US"/>
              </w:rPr>
            </w:pPr>
          </w:p>
        </w:tc>
      </w:tr>
      <w:tr w:rsidR="004C429A" w:rsidRPr="004C429A" w14:paraId="6E66D33F" w14:textId="77777777" w:rsidTr="00024598">
        <w:trPr>
          <w:trHeight w:val="1745"/>
        </w:trPr>
        <w:tc>
          <w:tcPr>
            <w:tcW w:w="2245" w:type="dxa"/>
          </w:tcPr>
          <w:p w14:paraId="15447C25" w14:textId="69821C7C" w:rsidR="004C429A" w:rsidRPr="004C429A" w:rsidRDefault="0072601F" w:rsidP="00F704F1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Actions</w:t>
            </w:r>
          </w:p>
        </w:tc>
        <w:tc>
          <w:tcPr>
            <w:tcW w:w="7164" w:type="dxa"/>
          </w:tcPr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237"/>
              <w:gridCol w:w="1078"/>
              <w:gridCol w:w="3306"/>
              <w:gridCol w:w="2303"/>
            </w:tblGrid>
            <w:tr w:rsidR="0072601F" w14:paraId="64DAEA2A" w14:textId="77777777" w:rsidTr="008923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  <w:gridSpan w:val="2"/>
                  <w:vAlign w:val="center"/>
                </w:tcPr>
                <w:p w14:paraId="2C847D15" w14:textId="77777777" w:rsidR="0072601F" w:rsidRDefault="0072601F" w:rsidP="0072601F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Action</w:t>
                  </w:r>
                </w:p>
              </w:tc>
              <w:tc>
                <w:tcPr>
                  <w:tcW w:w="3306" w:type="dxa"/>
                  <w:vAlign w:val="center"/>
                </w:tcPr>
                <w:p w14:paraId="71BF4DCA" w14:textId="77777777" w:rsidR="0072601F" w:rsidRDefault="0072601F" w:rsidP="007260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Description</w:t>
                  </w:r>
                </w:p>
              </w:tc>
              <w:tc>
                <w:tcPr>
                  <w:tcW w:w="2303" w:type="dxa"/>
                  <w:vAlign w:val="center"/>
                </w:tcPr>
                <w:p w14:paraId="5318434E" w14:textId="77777777" w:rsidR="0072601F" w:rsidRDefault="0072601F" w:rsidP="007260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Syntax</w:t>
                  </w:r>
                </w:p>
              </w:tc>
            </w:tr>
            <w:tr w:rsidR="0072601F" w14:paraId="62E0D470" w14:textId="77777777" w:rsidTr="00892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3D563D80" w14:textId="77777777" w:rsidR="0072601F" w:rsidRPr="0072601F" w:rsidRDefault="0072601F" w:rsidP="0072601F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1078" w:type="dxa"/>
                </w:tcPr>
                <w:p w14:paraId="30823516" w14:textId="0084C5A9" w:rsidR="0072601F" w:rsidRDefault="00892307" w:rsidP="007260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set</w:t>
                  </w:r>
                </w:p>
              </w:tc>
              <w:tc>
                <w:tcPr>
                  <w:tcW w:w="3306" w:type="dxa"/>
                </w:tcPr>
                <w:p w14:paraId="0E3B61D0" w14:textId="0547EF62" w:rsidR="0072601F" w:rsidRPr="00167DCB" w:rsidRDefault="0072601F" w:rsidP="007260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</w:p>
              </w:tc>
              <w:tc>
                <w:tcPr>
                  <w:tcW w:w="2303" w:type="dxa"/>
                </w:tcPr>
                <w:p w14:paraId="172433B8" w14:textId="77777777" w:rsidR="0072601F" w:rsidRPr="00167DCB" w:rsidRDefault="0072601F" w:rsidP="007260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eq( ## )]</w:t>
                  </w:r>
                </w:p>
              </w:tc>
            </w:tr>
            <w:tr w:rsidR="0072601F" w14:paraId="3BF11608" w14:textId="77777777" w:rsidTr="00892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6642A82C" w14:textId="77777777" w:rsidR="0072601F" w:rsidRPr="0072601F" w:rsidRDefault="0072601F" w:rsidP="0072601F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1078" w:type="dxa"/>
                </w:tcPr>
                <w:p w14:paraId="263A97DF" w14:textId="61BD72FC" w:rsidR="0072601F" w:rsidRDefault="00892307" w:rsidP="007260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email</w:t>
                  </w:r>
                </w:p>
              </w:tc>
              <w:tc>
                <w:tcPr>
                  <w:tcW w:w="3306" w:type="dxa"/>
                </w:tcPr>
                <w:p w14:paraId="30E11177" w14:textId="77777777" w:rsidR="0072601F" w:rsidRPr="00167DCB" w:rsidRDefault="0072601F" w:rsidP="007260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lang w:val="en-US"/>
                    </w:rPr>
                    <w:t>Greater Than</w:t>
                  </w:r>
                </w:p>
              </w:tc>
              <w:tc>
                <w:tcPr>
                  <w:tcW w:w="2303" w:type="dxa"/>
                </w:tcPr>
                <w:p w14:paraId="4567D8B3" w14:textId="77777777" w:rsidR="0072601F" w:rsidRPr="00167DCB" w:rsidRDefault="0072601F" w:rsidP="007260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gt( ## )]</w:t>
                  </w:r>
                </w:p>
              </w:tc>
            </w:tr>
            <w:tr w:rsidR="0072601F" w14:paraId="60801ECB" w14:textId="77777777" w:rsidTr="00892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2AE703EE" w14:textId="77777777" w:rsidR="0072601F" w:rsidRPr="0072601F" w:rsidRDefault="0072601F" w:rsidP="0072601F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1078" w:type="dxa"/>
                </w:tcPr>
                <w:p w14:paraId="7B8E7ED3" w14:textId="42C70B3A" w:rsidR="0072601F" w:rsidRDefault="00892307" w:rsidP="007260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wf</w:t>
                  </w:r>
                </w:p>
              </w:tc>
              <w:tc>
                <w:tcPr>
                  <w:tcW w:w="3306" w:type="dxa"/>
                </w:tcPr>
                <w:p w14:paraId="24A45BCA" w14:textId="0D31DE6F" w:rsidR="0072601F" w:rsidRPr="00167DCB" w:rsidRDefault="00892307" w:rsidP="007260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>
                    <w:rPr>
                      <w:rFonts w:ascii="Century Gothic" w:hAnsi="Century Gothic"/>
                      <w:lang w:val="en-US"/>
                    </w:rPr>
                    <w:t>Execute workflow</w:t>
                  </w:r>
                </w:p>
              </w:tc>
              <w:tc>
                <w:tcPr>
                  <w:tcW w:w="2303" w:type="dxa"/>
                </w:tcPr>
                <w:p w14:paraId="50622707" w14:textId="77777777" w:rsidR="0072601F" w:rsidRPr="00167DCB" w:rsidRDefault="0072601F" w:rsidP="007260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lt( ## )]</w:t>
                  </w:r>
                </w:p>
              </w:tc>
            </w:tr>
            <w:tr w:rsidR="0072601F" w14:paraId="12CCCCFD" w14:textId="77777777" w:rsidTr="00892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" w:type="dxa"/>
                  <w:shd w:val="clear" w:color="auto" w:fill="A8D08D"/>
                </w:tcPr>
                <w:p w14:paraId="2E2A3720" w14:textId="77777777" w:rsidR="0072601F" w:rsidRPr="0072601F" w:rsidRDefault="0072601F" w:rsidP="0072601F">
                  <w:pPr>
                    <w:rPr>
                      <w:rFonts w:ascii="Century Gothic" w:hAnsi="Century Gothic"/>
                      <w:b w:val="0"/>
                      <w:sz w:val="24"/>
                      <w:lang w:val="en-US"/>
                    </w:rPr>
                  </w:pPr>
                </w:p>
              </w:tc>
              <w:tc>
                <w:tcPr>
                  <w:tcW w:w="1078" w:type="dxa"/>
                </w:tcPr>
                <w:p w14:paraId="24919740" w14:textId="0664D4B6" w:rsidR="0072601F" w:rsidRDefault="00892307" w:rsidP="007260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each</w:t>
                  </w:r>
                </w:p>
              </w:tc>
              <w:tc>
                <w:tcPr>
                  <w:tcW w:w="3306" w:type="dxa"/>
                </w:tcPr>
                <w:p w14:paraId="006436D0" w14:textId="77777777" w:rsidR="0072601F" w:rsidRPr="00167DCB" w:rsidRDefault="0072601F" w:rsidP="007260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lang w:val="en-US"/>
                    </w:rPr>
                    <w:t>Greater than or Equal To</w:t>
                  </w:r>
                </w:p>
              </w:tc>
              <w:tc>
                <w:tcPr>
                  <w:tcW w:w="2303" w:type="dxa"/>
                </w:tcPr>
                <w:p w14:paraId="1F9784C2" w14:textId="77777777" w:rsidR="0072601F" w:rsidRPr="00167DCB" w:rsidRDefault="0072601F" w:rsidP="007260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22"/>
                      <w:lang w:val="en-US"/>
                    </w:rPr>
                  </w:pPr>
                  <w:r w:rsidRPr="00167DCB">
                    <w:rPr>
                      <w:rFonts w:ascii="Century Gothic" w:hAnsi="Century Gothic"/>
                      <w:sz w:val="22"/>
                      <w:lang w:val="en-US"/>
                    </w:rPr>
                    <w:t>[this | gte( ## )]</w:t>
                  </w:r>
                </w:p>
              </w:tc>
            </w:tr>
          </w:tbl>
          <w:p w14:paraId="3C1B9426" w14:textId="77777777" w:rsidR="001E1B87" w:rsidRDefault="001E1B87" w:rsidP="00F704F1">
            <w:pPr>
              <w:rPr>
                <w:rFonts w:ascii="Century Gothic" w:hAnsi="Century Gothic"/>
                <w:sz w:val="24"/>
                <w:lang w:val="en-US"/>
              </w:rPr>
            </w:pPr>
          </w:p>
          <w:p w14:paraId="70C83F02" w14:textId="43054457" w:rsidR="004C429A" w:rsidRPr="004C429A" w:rsidRDefault="004C429A" w:rsidP="00F704F1">
            <w:pPr>
              <w:rPr>
                <w:rFonts w:ascii="Century Gothic" w:hAnsi="Century Gothic"/>
                <w:sz w:val="24"/>
                <w:lang w:val="en-US"/>
              </w:rPr>
            </w:pPr>
            <w:r w:rsidRPr="004C429A">
              <w:rPr>
                <w:rFonts w:ascii="Century Gothic" w:hAnsi="Century Gothic"/>
                <w:sz w:val="24"/>
                <w:lang w:val="en-US"/>
              </w:rPr>
              <w:t>% is used to evaluate as a “contains”.</w:t>
            </w:r>
            <w:r w:rsidRPr="004C429A">
              <w:rPr>
                <w:rFonts w:ascii="Century Gothic" w:hAnsi="Century Gothic"/>
                <w:sz w:val="24"/>
                <w:lang w:val="en-US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6699"/>
            </w:tblGrid>
            <w:tr w:rsidR="004C429A" w:rsidRPr="004C429A" w14:paraId="5D6DB454" w14:textId="77777777" w:rsidTr="00CC7D2B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4D262D61" w14:textId="77777777" w:rsidR="004C429A" w:rsidRPr="004C429A" w:rsidRDefault="004C429A" w:rsidP="004C429A">
                  <w:pPr>
                    <w:rPr>
                      <w:rFonts w:ascii="Century Gothic" w:hAnsi="Century Gothic"/>
                      <w:b/>
                      <w:sz w:val="24"/>
                      <w:lang w:val="en-US"/>
                    </w:rPr>
                  </w:pP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4CA7D39B" w14:textId="7F9E8312" w:rsidR="004C429A" w:rsidRPr="004C429A" w:rsidRDefault="004C429A" w:rsidP="004C429A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[ 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%</w:t>
                  </w:r>
                  <w:r w:rsidR="000E1D9E">
                    <w:rPr>
                      <w:rFonts w:ascii="Century Gothic" w:hAnsi="Century Gothic"/>
                      <w:sz w:val="24"/>
                      <w:lang w:val="en-US"/>
                    </w:rPr>
                    <w:t>”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FRANCE</w:t>
                  </w:r>
                  <w:r w:rsidR="000E1D9E">
                    <w:rPr>
                      <w:rFonts w:ascii="Century Gothic" w:hAnsi="Century Gothic"/>
                      <w:sz w:val="24"/>
                      <w:lang w:val="en-US"/>
                    </w:rPr>
                    <w:t>”</w:t>
                  </w: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 ]</w:t>
                  </w:r>
                </w:p>
              </w:tc>
            </w:tr>
          </w:tbl>
          <w:p w14:paraId="3CE6EC63" w14:textId="703E60D6" w:rsidR="00B86186" w:rsidRDefault="00B86186" w:rsidP="00F704F1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“” is used to evaluate the contents of the quotes against the contents of the column.</w:t>
            </w:r>
            <w:r>
              <w:rPr>
                <w:rFonts w:ascii="Century Gothic" w:hAnsi="Century Gothic"/>
                <w:sz w:val="24"/>
                <w:lang w:val="en-US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6699"/>
            </w:tblGrid>
            <w:tr w:rsidR="00B86186" w:rsidRPr="004C429A" w14:paraId="69AA14A5" w14:textId="77777777" w:rsidTr="00CC7D2B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7A2673C7" w14:textId="77777777" w:rsidR="00B86186" w:rsidRPr="004C429A" w:rsidRDefault="00B86186" w:rsidP="00B86186">
                  <w:pPr>
                    <w:rPr>
                      <w:rFonts w:ascii="Century Gothic" w:hAnsi="Century Gothic"/>
                      <w:b/>
                      <w:sz w:val="24"/>
                      <w:lang w:val="en-US"/>
                    </w:rPr>
                  </w:pP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3034839E" w14:textId="5706CA62" w:rsidR="00B86186" w:rsidRPr="004C429A" w:rsidRDefault="00B86186" w:rsidP="00B86186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[ 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=“FRANCE”</w:t>
                  </w: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 ]</w:t>
                  </w:r>
                  <w:r w:rsidR="00061577">
                    <w:rPr>
                      <w:rFonts w:ascii="Century Gothic" w:hAnsi="Century Gothic"/>
                      <w:sz w:val="24"/>
                      <w:lang w:val="en-US"/>
                    </w:rPr>
                    <w:t xml:space="preserve"> evaluates to only return true if the column value is exactly FRANCE.</w:t>
                  </w:r>
                  <w:r w:rsidR="00061577">
                    <w:rPr>
                      <w:rFonts w:ascii="Century Gothic" w:hAnsi="Century Gothic"/>
                      <w:sz w:val="24"/>
                      <w:lang w:val="en-US"/>
                    </w:rPr>
                    <w:br/>
                  </w:r>
                  <w:r w:rsidR="00061577">
                    <w:rPr>
                      <w:rFonts w:ascii="Century Gothic" w:hAnsi="Century Gothic"/>
                      <w:sz w:val="24"/>
                      <w:lang w:val="en-US"/>
                    </w:rPr>
                    <w:br/>
                    <w:t>[ !=”FRANCE” ] evalues to only return true if the column value is NOT exactly FRANCE.</w:t>
                  </w:r>
                </w:p>
              </w:tc>
            </w:tr>
          </w:tbl>
          <w:p w14:paraId="7F5B58B3" w14:textId="2165A70A" w:rsidR="00B86186" w:rsidRPr="004C429A" w:rsidRDefault="00061577" w:rsidP="00F704F1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br/>
            </w:r>
          </w:p>
        </w:tc>
      </w:tr>
      <w:tr w:rsidR="004C429A" w:rsidRPr="004C429A" w14:paraId="26C85428" w14:textId="77777777" w:rsidTr="00024598">
        <w:tc>
          <w:tcPr>
            <w:tcW w:w="2245" w:type="dxa"/>
          </w:tcPr>
          <w:p w14:paraId="78B352F3" w14:textId="4D7107F2" w:rsidR="004C429A" w:rsidRPr="004C429A" w:rsidRDefault="00061577" w:rsidP="00F704F1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lastRenderedPageBreak/>
              <w:t>Combined Expressions</w:t>
            </w:r>
          </w:p>
        </w:tc>
        <w:tc>
          <w:tcPr>
            <w:tcW w:w="7164" w:type="dxa"/>
          </w:tcPr>
          <w:p w14:paraId="7E8884A1" w14:textId="5083D6B9" w:rsidR="004C429A" w:rsidRDefault="00061577" w:rsidP="00F704F1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Expressions can be strung together to accomplish AND and OR conditions.</w:t>
            </w:r>
            <w:r w:rsidR="000E1D9E">
              <w:rPr>
                <w:rFonts w:ascii="Century Gothic" w:hAnsi="Century Gothic"/>
                <w:sz w:val="24"/>
                <w:lang w:val="en-US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6453"/>
            </w:tblGrid>
            <w:tr w:rsidR="000E1D9E" w:rsidRPr="004C429A" w14:paraId="46D1A847" w14:textId="77777777" w:rsidTr="00CC7D2B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72057B89" w14:textId="21BDAA05" w:rsidR="000E1D9E" w:rsidRPr="004C429A" w:rsidRDefault="000E1D9E" w:rsidP="000E1D9E">
                  <w:pPr>
                    <w:rPr>
                      <w:rFonts w:ascii="Century Gothic" w:hAnsi="Century Gothic"/>
                      <w:b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lang w:val="en-US"/>
                    </w:rPr>
                    <w:t>&amp;&amp;</w:t>
                  </w: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57613240" w14:textId="1B216B2F" w:rsidR="000E1D9E" w:rsidRPr="004C429A" w:rsidRDefault="000E1D9E" w:rsidP="000E1D9E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[ 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=”FRANCE”</w:t>
                  </w: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 ]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 xml:space="preserve">&amp;&amp;[=”BELGIUM”] applies both expressions  with an AND </w:t>
                  </w:r>
                  <w:r w:rsidRPr="000E1D9E">
                    <w:rPr>
                      <w:rFonts w:ascii="Century Gothic" w:hAnsi="Century Gothic"/>
                      <w:i/>
                      <w:sz w:val="24"/>
                      <w:lang w:val="en-US"/>
                    </w:rPr>
                    <w:t>{ &amp;&amp; }</w:t>
                  </w:r>
                </w:p>
              </w:tc>
            </w:tr>
            <w:tr w:rsidR="000E1D9E" w:rsidRPr="004C429A" w14:paraId="3140C804" w14:textId="77777777" w:rsidTr="00CC7D2B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7BAC7A3D" w14:textId="04304D0C" w:rsidR="000E1D9E" w:rsidRPr="004C429A" w:rsidRDefault="000E1D9E" w:rsidP="000E1D9E">
                  <w:pPr>
                    <w:rPr>
                      <w:rFonts w:ascii="Century Gothic" w:hAnsi="Century Gothic"/>
                      <w:b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lang w:val="en-US"/>
                    </w:rPr>
                    <w:t>||</w:t>
                  </w: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22DA717F" w14:textId="1D4601BE" w:rsidR="000E1D9E" w:rsidRPr="004C429A" w:rsidRDefault="000E1D9E" w:rsidP="000E1D9E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[ 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=”FRANCE”</w:t>
                  </w: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 ]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 xml:space="preserve">||[=”BELGIUM”] applies both expressions with an OR </w:t>
                  </w:r>
                  <w:r w:rsidRPr="000E1D9E">
                    <w:rPr>
                      <w:rFonts w:ascii="Century Gothic" w:hAnsi="Century Gothic"/>
                      <w:i/>
                      <w:sz w:val="24"/>
                      <w:lang w:val="en-US"/>
                    </w:rPr>
                    <w:t>{ || }</w:t>
                  </w:r>
                </w:p>
              </w:tc>
            </w:tr>
          </w:tbl>
          <w:p w14:paraId="22484636" w14:textId="77777777" w:rsidR="000E1D9E" w:rsidRDefault="000E1D9E" w:rsidP="00F704F1">
            <w:pPr>
              <w:rPr>
                <w:rFonts w:ascii="Century Gothic" w:hAnsi="Century Gothic"/>
                <w:sz w:val="24"/>
                <w:lang w:val="en-US"/>
              </w:rPr>
            </w:pPr>
          </w:p>
          <w:p w14:paraId="12822B6B" w14:textId="5E626B64" w:rsidR="000E1D9E" w:rsidRPr="004C429A" w:rsidRDefault="000E1D9E" w:rsidP="00F704F1">
            <w:pPr>
              <w:rPr>
                <w:rFonts w:ascii="Century Gothic" w:hAnsi="Century Gothic"/>
                <w:sz w:val="24"/>
                <w:lang w:val="en-US"/>
              </w:rPr>
            </w:pPr>
          </w:p>
        </w:tc>
      </w:tr>
      <w:tr w:rsidR="000E1D9E" w:rsidRPr="004C429A" w14:paraId="377CC5E0" w14:textId="77777777" w:rsidTr="00024598">
        <w:tc>
          <w:tcPr>
            <w:tcW w:w="2245" w:type="dxa"/>
          </w:tcPr>
          <w:p w14:paraId="14006FE1" w14:textId="48BFF7B8" w:rsidR="000E1D9E" w:rsidRDefault="000E1D9E" w:rsidP="00F704F1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Grouped Expressions</w:t>
            </w:r>
          </w:p>
        </w:tc>
        <w:tc>
          <w:tcPr>
            <w:tcW w:w="7164" w:type="dxa"/>
          </w:tcPr>
          <w:p w14:paraId="6956453F" w14:textId="2271DA2A" w:rsidR="00A72FEB" w:rsidRDefault="000E1D9E" w:rsidP="00F704F1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Expressions can be grouped to create more complex expressions.</w:t>
            </w:r>
            <w:r w:rsidR="00A72FEB">
              <w:rPr>
                <w:rFonts w:ascii="Century Gothic" w:hAnsi="Century Gothic"/>
                <w:sz w:val="24"/>
                <w:lang w:val="en-US"/>
              </w:rPr>
              <w:br/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6698"/>
            </w:tblGrid>
            <w:tr w:rsidR="00A72FEB" w:rsidRPr="004C429A" w14:paraId="73424B0B" w14:textId="77777777" w:rsidTr="00CC7D2B">
              <w:trPr>
                <w:trHeight w:val="845"/>
              </w:trPr>
              <w:tc>
                <w:tcPr>
                  <w:tcW w:w="257" w:type="dxa"/>
                  <w:shd w:val="clear" w:color="auto" w:fill="A8D08D" w:themeFill="accent6" w:themeFillTint="99"/>
                  <w:vAlign w:val="center"/>
                </w:tcPr>
                <w:p w14:paraId="438AEBBA" w14:textId="77777777" w:rsidR="00A72FEB" w:rsidRPr="004C429A" w:rsidRDefault="00A72FEB" w:rsidP="00A72FEB">
                  <w:pPr>
                    <w:rPr>
                      <w:rFonts w:ascii="Century Gothic" w:hAnsi="Century Gothic"/>
                      <w:b/>
                      <w:sz w:val="24"/>
                      <w:lang w:val="en-US"/>
                    </w:rPr>
                  </w:pPr>
                </w:p>
              </w:tc>
              <w:tc>
                <w:tcPr>
                  <w:tcW w:w="8881" w:type="dxa"/>
                  <w:shd w:val="clear" w:color="auto" w:fill="FFFFFF" w:themeFill="background1"/>
                  <w:vAlign w:val="center"/>
                </w:tcPr>
                <w:p w14:paraId="438227EB" w14:textId="256DEE8C" w:rsidR="00A72FEB" w:rsidRPr="004C429A" w:rsidRDefault="00A72FEB" w:rsidP="00DB0EEA">
                  <w:pPr>
                    <w:rPr>
                      <w:rFonts w:ascii="Century Gothic" w:hAnsi="Century Gothic"/>
                      <w:sz w:val="24"/>
                      <w:lang w:val="en-US"/>
                    </w:rPr>
                  </w:pPr>
                  <w:r>
                    <w:rPr>
                      <w:rFonts w:ascii="Century Gothic" w:hAnsi="Century Gothic"/>
                      <w:sz w:val="24"/>
                      <w:lang w:val="en-US"/>
                    </w:rPr>
                    <w:t xml:space="preserve">( </w:t>
                  </w: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[ 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>=”FR”</w:t>
                  </w:r>
                  <w:r w:rsidRPr="004C429A">
                    <w:rPr>
                      <w:rFonts w:ascii="Century Gothic" w:hAnsi="Century Gothic"/>
                      <w:sz w:val="24"/>
                      <w:lang w:val="en-US"/>
                    </w:rPr>
                    <w:t xml:space="preserve"> ]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 xml:space="preserve">||[=”BE”] ) </w:t>
                  </w:r>
                  <w:r w:rsidR="00DB0EEA">
                    <w:rPr>
                      <w:rFonts w:ascii="Century Gothic" w:hAnsi="Century Gothic"/>
                      <w:sz w:val="24"/>
                      <w:lang w:val="en-US"/>
                    </w:rPr>
                    <w:t>&amp;&amp;</w:t>
                  </w:r>
                  <w:r>
                    <w:rPr>
                      <w:rFonts w:ascii="Century Gothic" w:hAnsi="Century Gothic"/>
                      <w:sz w:val="24"/>
                      <w:lang w:val="en-US"/>
                    </w:rPr>
                    <w:t xml:space="preserve"> ( [ !=””] )</w:t>
                  </w:r>
                </w:p>
              </w:tc>
            </w:tr>
          </w:tbl>
          <w:p w14:paraId="04FE546B" w14:textId="77777777" w:rsidR="00A72FEB" w:rsidRDefault="00A72FEB" w:rsidP="00F704F1">
            <w:pPr>
              <w:rPr>
                <w:rFonts w:ascii="Century Gothic" w:hAnsi="Century Gothic"/>
                <w:sz w:val="24"/>
                <w:lang w:val="en-US"/>
              </w:rPr>
            </w:pPr>
          </w:p>
          <w:p w14:paraId="6FD0C75A" w14:textId="77777777" w:rsidR="002645CD" w:rsidRDefault="002645CD" w:rsidP="00F704F1">
            <w:pPr>
              <w:rPr>
                <w:rFonts w:ascii="Century Gothic" w:hAnsi="Century Gothic"/>
                <w:sz w:val="24"/>
                <w:lang w:val="en-US"/>
              </w:rPr>
            </w:pPr>
          </w:p>
        </w:tc>
      </w:tr>
    </w:tbl>
    <w:p w14:paraId="3CD27C11" w14:textId="201F318F" w:rsidR="00D6607D" w:rsidRDefault="00D6607D" w:rsidP="00F704F1">
      <w:pPr>
        <w:rPr>
          <w:rFonts w:ascii="Century Gothic" w:hAnsi="Century Gothic"/>
          <w:b/>
          <w:sz w:val="18"/>
          <w:u w:val="single"/>
          <w:lang w:val="en-US"/>
        </w:rPr>
      </w:pPr>
    </w:p>
    <w:p w14:paraId="67BCF996" w14:textId="77777777" w:rsidR="00D6607D" w:rsidRDefault="00D6607D">
      <w:pPr>
        <w:keepLines w:val="0"/>
        <w:spacing w:before="0"/>
        <w:rPr>
          <w:rFonts w:ascii="Century Gothic" w:hAnsi="Century Gothic"/>
          <w:b/>
          <w:sz w:val="18"/>
          <w:u w:val="single"/>
          <w:lang w:val="en-US"/>
        </w:rPr>
      </w:pPr>
      <w:r>
        <w:rPr>
          <w:rFonts w:ascii="Century Gothic" w:hAnsi="Century Gothic"/>
          <w:b/>
          <w:sz w:val="18"/>
          <w:u w:val="single"/>
          <w:lang w:val="en-US"/>
        </w:rPr>
        <w:br w:type="page"/>
      </w:r>
    </w:p>
    <w:p w14:paraId="6EFDC656" w14:textId="278272DF" w:rsidR="00892307" w:rsidRDefault="00892307" w:rsidP="00D6607D">
      <w:pPr>
        <w:pStyle w:val="Heading3"/>
        <w:rPr>
          <w:sz w:val="28"/>
          <w:lang w:val="en-US"/>
        </w:rPr>
      </w:pPr>
      <w:r>
        <w:rPr>
          <w:sz w:val="28"/>
          <w:lang w:val="en-US"/>
        </w:rPr>
        <w:lastRenderedPageBreak/>
        <w:t>Tests</w:t>
      </w:r>
    </w:p>
    <w:p w14:paraId="527DB00C" w14:textId="70581C1A" w:rsidR="00892307" w:rsidRDefault="00892307" w:rsidP="00892307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>A test is defined as a</w:t>
      </w:r>
      <w:r w:rsidR="00000873">
        <w:rPr>
          <w:rFonts w:ascii="Century Gothic" w:hAnsi="Century Gothic"/>
          <w:sz w:val="24"/>
          <w:lang w:val="en-US"/>
        </w:rPr>
        <w:t xml:space="preserve"> validation</w:t>
      </w:r>
      <w:r>
        <w:rPr>
          <w:rFonts w:ascii="Century Gothic" w:hAnsi="Century Gothic"/>
          <w:sz w:val="24"/>
          <w:lang w:val="en-US"/>
        </w:rPr>
        <w:t xml:space="preserve"> expression that evaluates to a true or false</w:t>
      </w:r>
      <w:r w:rsidR="00000873">
        <w:rPr>
          <w:rFonts w:ascii="Century Gothic" w:hAnsi="Century Gothic"/>
          <w:sz w:val="24"/>
          <w:lang w:val="en-US"/>
        </w:rPr>
        <w:t xml:space="preserve"> and then performs the associated action in the case of a true result</w:t>
      </w:r>
      <w:r>
        <w:rPr>
          <w:rFonts w:ascii="Century Gothic" w:hAnsi="Century Gothic"/>
          <w:sz w:val="24"/>
          <w:lang w:val="en-US"/>
        </w:rPr>
        <w:t xml:space="preserve">.  Tests are comprised of two expressions and are separated by the =&gt; symbol.  To the left of the =&gt; symbol is the test portion of the expression, and to the right is the action portion of the expression.  The value of the target is </w:t>
      </w:r>
      <w:r w:rsidR="00000873">
        <w:rPr>
          <w:rFonts w:ascii="Century Gothic" w:hAnsi="Century Gothic"/>
          <w:sz w:val="24"/>
          <w:lang w:val="en-US"/>
        </w:rPr>
        <w:t>validated</w:t>
      </w:r>
      <w:r>
        <w:rPr>
          <w:rFonts w:ascii="Century Gothic" w:hAnsi="Century Gothic"/>
          <w:sz w:val="24"/>
          <w:lang w:val="en-US"/>
        </w:rPr>
        <w:t xml:space="preserve"> against the expression, and in the case of a true outcome the action is evaluated.</w:t>
      </w:r>
    </w:p>
    <w:p w14:paraId="7F3AFDA3" w14:textId="22527CC0" w:rsidR="00000873" w:rsidRDefault="00000873" w:rsidP="00892307">
      <w:pPr>
        <w:rPr>
          <w:rFonts w:ascii="Century Gothic" w:hAnsi="Century Gothic"/>
          <w:sz w:val="24"/>
          <w:lang w:val="en-US"/>
        </w:rPr>
      </w:pPr>
    </w:p>
    <w:p w14:paraId="5188872C" w14:textId="25C21DE5" w:rsidR="00000873" w:rsidRDefault="00000873" w:rsidP="00892307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 xml:space="preserve">Since the Workflow component inherits from the HP.Core.Validation component all it’s </w:t>
      </w:r>
      <w:hyperlink w:anchor="_HP.Core.Validation_Expression" w:history="1">
        <w:r w:rsidRPr="00D72601">
          <w:rPr>
            <w:rStyle w:val="Hyperlink"/>
            <w:rFonts w:ascii="Century Gothic" w:hAnsi="Century Gothic"/>
            <w:sz w:val="24"/>
            <w:lang w:val="en-US"/>
          </w:rPr>
          <w:t>validation expressions</w:t>
        </w:r>
      </w:hyperlink>
      <w:r>
        <w:rPr>
          <w:rFonts w:ascii="Century Gothic" w:hAnsi="Century Gothic"/>
          <w:sz w:val="24"/>
          <w:lang w:val="en-US"/>
        </w:rPr>
        <w:t xml:space="preserve"> are available here in the workflow expression component.</w:t>
      </w:r>
      <w:r w:rsidR="002D71AC">
        <w:rPr>
          <w:rFonts w:ascii="Century Gothic" w:hAnsi="Century Gothic"/>
          <w:sz w:val="24"/>
          <w:lang w:val="en-US"/>
        </w:rPr>
        <w:t xml:space="preserve">  Below is a list of additional test expression available within the workflow expression component.</w:t>
      </w:r>
    </w:p>
    <w:p w14:paraId="01595AD0" w14:textId="77777777" w:rsidR="00676711" w:rsidRDefault="00676711" w:rsidP="00892307">
      <w:pPr>
        <w:rPr>
          <w:rFonts w:ascii="Century Gothic" w:hAnsi="Century Gothic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254"/>
      </w:tblGrid>
      <w:tr w:rsidR="00892307" w:rsidRPr="00D6607D" w14:paraId="0D18AB7E" w14:textId="77777777" w:rsidTr="00000873">
        <w:trPr>
          <w:trHeight w:val="602"/>
        </w:trPr>
        <w:tc>
          <w:tcPr>
            <w:tcW w:w="2155" w:type="dxa"/>
            <w:vAlign w:val="center"/>
          </w:tcPr>
          <w:p w14:paraId="2D3FD228" w14:textId="779B19A7" w:rsidR="00892307" w:rsidRPr="00D6607D" w:rsidRDefault="00892307" w:rsidP="0096326F">
            <w:pPr>
              <w:rPr>
                <w:rFonts w:ascii="Century Gothic" w:hAnsi="Century Gothic"/>
                <w:sz w:val="24"/>
                <w:lang w:val="en-US"/>
              </w:rPr>
            </w:pPr>
            <w:r w:rsidRPr="00D6607D">
              <w:rPr>
                <w:rFonts w:ascii="Century Gothic" w:hAnsi="Century Gothic"/>
                <w:sz w:val="24"/>
                <w:lang w:val="en-US"/>
              </w:rPr>
              <w:t xml:space="preserve">| </w:t>
            </w:r>
            <w:r w:rsidR="002D71AC">
              <w:rPr>
                <w:rFonts w:ascii="Century Gothic" w:hAnsi="Century Gothic"/>
                <w:sz w:val="24"/>
                <w:lang w:val="en-US"/>
              </w:rPr>
              <w:t>eom()</w:t>
            </w:r>
          </w:p>
        </w:tc>
        <w:tc>
          <w:tcPr>
            <w:tcW w:w="7254" w:type="dxa"/>
            <w:vAlign w:val="center"/>
          </w:tcPr>
          <w:p w14:paraId="046E0DEB" w14:textId="599ED195" w:rsidR="00892307" w:rsidRPr="00D6607D" w:rsidRDefault="002D71AC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Applied to a date value it tests if the target value is greater than the end-of-the-current-month.</w:t>
            </w:r>
          </w:p>
        </w:tc>
      </w:tr>
      <w:tr w:rsidR="00892307" w:rsidRPr="00D6607D" w14:paraId="5FECEB85" w14:textId="77777777" w:rsidTr="00000873">
        <w:trPr>
          <w:trHeight w:val="602"/>
        </w:trPr>
        <w:tc>
          <w:tcPr>
            <w:tcW w:w="2155" w:type="dxa"/>
            <w:vAlign w:val="center"/>
          </w:tcPr>
          <w:p w14:paraId="0677C051" w14:textId="04FEAB98" w:rsidR="00892307" w:rsidRPr="00D6607D" w:rsidRDefault="00892307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 xml:space="preserve">| </w:t>
            </w:r>
            <w:r w:rsidR="002D71AC">
              <w:rPr>
                <w:rFonts w:ascii="Century Gothic" w:hAnsi="Century Gothic"/>
                <w:sz w:val="24"/>
                <w:lang w:val="en-US"/>
              </w:rPr>
              <w:t>eoq</w:t>
            </w:r>
            <w:r w:rsidR="00000873">
              <w:rPr>
                <w:rFonts w:ascii="Century Gothic" w:hAnsi="Century Gothic"/>
                <w:sz w:val="24"/>
                <w:lang w:val="en-US"/>
              </w:rPr>
              <w:t>()</w:t>
            </w:r>
          </w:p>
        </w:tc>
        <w:tc>
          <w:tcPr>
            <w:tcW w:w="7254" w:type="dxa"/>
            <w:vAlign w:val="center"/>
          </w:tcPr>
          <w:p w14:paraId="3B19981A" w14:textId="139A35E7" w:rsidR="00892307" w:rsidRPr="00D6607D" w:rsidRDefault="002D71AC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Applied to a date value it tests if the target value is greater than the evaluated end-of-current-quarter date.</w:t>
            </w:r>
          </w:p>
        </w:tc>
      </w:tr>
      <w:tr w:rsidR="00892307" w:rsidRPr="00D6607D" w14:paraId="0E5CE832" w14:textId="77777777" w:rsidTr="00000873">
        <w:trPr>
          <w:trHeight w:val="602"/>
        </w:trPr>
        <w:tc>
          <w:tcPr>
            <w:tcW w:w="2155" w:type="dxa"/>
            <w:vAlign w:val="center"/>
          </w:tcPr>
          <w:p w14:paraId="1F14317F" w14:textId="1394C877" w:rsidR="00892307" w:rsidRDefault="00892307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 xml:space="preserve">| </w:t>
            </w:r>
            <w:r w:rsidR="002D71AC">
              <w:rPr>
                <w:rFonts w:ascii="Century Gothic" w:hAnsi="Century Gothic"/>
                <w:sz w:val="24"/>
                <w:lang w:val="en-US"/>
              </w:rPr>
              <w:t>eofy</w:t>
            </w:r>
            <w:r w:rsidR="00000873">
              <w:rPr>
                <w:rFonts w:ascii="Century Gothic" w:hAnsi="Century Gothic"/>
                <w:sz w:val="24"/>
                <w:lang w:val="en-US"/>
              </w:rPr>
              <w:t>()</w:t>
            </w:r>
          </w:p>
        </w:tc>
        <w:tc>
          <w:tcPr>
            <w:tcW w:w="7254" w:type="dxa"/>
            <w:vAlign w:val="center"/>
          </w:tcPr>
          <w:p w14:paraId="64BBA95B" w14:textId="26A1ACDD" w:rsidR="00892307" w:rsidRDefault="002D71AC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Applied to a date value it tests if the target value is greater than the end-of-the-fiscal-year date.</w:t>
            </w:r>
          </w:p>
        </w:tc>
      </w:tr>
    </w:tbl>
    <w:p w14:paraId="473B0B7E" w14:textId="6E69E1B6" w:rsidR="00717B4A" w:rsidRDefault="00717B4A" w:rsidP="00892307">
      <w:pPr>
        <w:rPr>
          <w:rFonts w:ascii="Century Gothic" w:hAnsi="Century Gothic"/>
          <w:sz w:val="24"/>
          <w:lang w:val="en-US"/>
        </w:rPr>
      </w:pPr>
    </w:p>
    <w:p w14:paraId="7C7139DD" w14:textId="05ECCFFA" w:rsidR="00CD7708" w:rsidRDefault="00CD7708" w:rsidP="00CD7708">
      <w:pPr>
        <w:pStyle w:val="Heading3"/>
        <w:rPr>
          <w:sz w:val="28"/>
          <w:lang w:val="en-US"/>
        </w:rPr>
      </w:pPr>
      <w:r>
        <w:rPr>
          <w:sz w:val="28"/>
          <w:lang w:val="en-US"/>
        </w:rPr>
        <w:t>Actions</w:t>
      </w:r>
    </w:p>
    <w:p w14:paraId="68F35893" w14:textId="02889AF8" w:rsidR="00CD7708" w:rsidRPr="00CD7708" w:rsidRDefault="00CD7708" w:rsidP="00CD7708">
      <w:pPr>
        <w:rPr>
          <w:rFonts w:ascii="Century Gothic" w:hAnsi="Century Gothic"/>
          <w:sz w:val="24"/>
          <w:lang w:val="en-US"/>
        </w:rPr>
      </w:pPr>
      <w:r w:rsidRPr="00CD7708">
        <w:rPr>
          <w:rFonts w:ascii="Century Gothic" w:hAnsi="Century Gothic"/>
          <w:sz w:val="24"/>
          <w:lang w:val="en-US"/>
        </w:rPr>
        <w:t>An a</w:t>
      </w:r>
      <w:r>
        <w:rPr>
          <w:rFonts w:ascii="Century Gothic" w:hAnsi="Century Gothic"/>
          <w:sz w:val="24"/>
          <w:lang w:val="en-US"/>
        </w:rPr>
        <w:t>ction is defined as an expression that results in an modification task of the action’s target.  Actions can be configured alone or as the action portion of a test expression.</w:t>
      </w:r>
    </w:p>
    <w:p w14:paraId="64C229B6" w14:textId="77777777" w:rsidR="00CD7708" w:rsidRDefault="00CD7708">
      <w:pPr>
        <w:keepLines w:val="0"/>
        <w:spacing w:before="0"/>
        <w:rPr>
          <w:rFonts w:ascii="Century Gothic" w:hAnsi="Century Gothic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64"/>
      </w:tblGrid>
      <w:tr w:rsidR="000C683B" w:rsidRPr="00D6607D" w14:paraId="44FBB314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1F9D1F00" w14:textId="67CD68A2" w:rsidR="000C683B" w:rsidRPr="00D6607D" w:rsidRDefault="000C683B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start()</w:t>
            </w:r>
          </w:p>
        </w:tc>
        <w:tc>
          <w:tcPr>
            <w:tcW w:w="6264" w:type="dxa"/>
            <w:vAlign w:val="center"/>
          </w:tcPr>
          <w:p w14:paraId="69BAF952" w14:textId="0CB35F98" w:rsidR="000C683B" w:rsidRPr="000C683B" w:rsidRDefault="000C683B" w:rsidP="00354CD5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Start()</w:t>
            </w:r>
            <w:r>
              <w:rPr>
                <w:rFonts w:ascii="Century Gothic" w:hAnsi="Century Gothic"/>
                <w:sz w:val="24"/>
                <w:lang w:val="en-US"/>
              </w:rPr>
              <w:t>:  This action is mainly a placeholder to designate where the workflow starts.  It will always complete.</w:t>
            </w:r>
          </w:p>
        </w:tc>
      </w:tr>
      <w:tr w:rsidR="00CD7708" w:rsidRPr="00D6607D" w14:paraId="3292B36D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4CE6467A" w14:textId="77777777" w:rsidR="00CD7708" w:rsidRPr="00D6607D" w:rsidRDefault="00CD7708" w:rsidP="0096326F">
            <w:pPr>
              <w:rPr>
                <w:rFonts w:ascii="Century Gothic" w:hAnsi="Century Gothic"/>
                <w:sz w:val="24"/>
                <w:lang w:val="en-US"/>
              </w:rPr>
            </w:pPr>
            <w:r w:rsidRPr="00D6607D">
              <w:rPr>
                <w:rFonts w:ascii="Century Gothic" w:hAnsi="Century Gothic"/>
                <w:sz w:val="24"/>
                <w:lang w:val="en-US"/>
              </w:rPr>
              <w:t xml:space="preserve">| </w:t>
            </w:r>
            <w:r>
              <w:rPr>
                <w:rFonts w:ascii="Century Gothic" w:hAnsi="Century Gothic"/>
                <w:sz w:val="24"/>
                <w:lang w:val="en-US"/>
              </w:rPr>
              <w:t>eom()</w:t>
            </w:r>
          </w:p>
        </w:tc>
        <w:tc>
          <w:tcPr>
            <w:tcW w:w="6264" w:type="dxa"/>
            <w:vAlign w:val="center"/>
          </w:tcPr>
          <w:p w14:paraId="392A9B40" w14:textId="65997BFD" w:rsidR="00CD7708" w:rsidRPr="00D6607D" w:rsidRDefault="00CD7708" w:rsidP="00354CD5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End of Month():</w:t>
            </w:r>
            <w:r w:rsidR="00354CD5">
              <w:rPr>
                <w:rFonts w:ascii="Century Gothic" w:hAnsi="Century Gothic"/>
                <w:b/>
                <w:sz w:val="24"/>
                <w:lang w:val="en-US"/>
              </w:rPr>
              <w:t xml:space="preserve">  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Applied to a date value it </w:t>
            </w:r>
            <w:r>
              <w:rPr>
                <w:rFonts w:ascii="Century Gothic" w:hAnsi="Century Gothic"/>
                <w:sz w:val="24"/>
                <w:lang w:val="en-US"/>
              </w:rPr>
              <w:t>sets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the target value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to the evaluated </w:t>
            </w:r>
            <w:r>
              <w:rPr>
                <w:rFonts w:ascii="Century Gothic" w:hAnsi="Century Gothic"/>
                <w:sz w:val="24"/>
                <w:lang w:val="en-US"/>
              </w:rPr>
              <w:t>end-of-the-current-month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value</w:t>
            </w:r>
            <w:r>
              <w:rPr>
                <w:rFonts w:ascii="Century Gothic" w:hAnsi="Century Gothic"/>
                <w:sz w:val="24"/>
                <w:lang w:val="en-US"/>
              </w:rPr>
              <w:t>.</w:t>
            </w:r>
          </w:p>
        </w:tc>
      </w:tr>
      <w:tr w:rsidR="00CD7708" w:rsidRPr="00D6607D" w14:paraId="32B101C8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40FA39E2" w14:textId="77777777" w:rsidR="00CD7708" w:rsidRPr="00D6607D" w:rsidRDefault="00CD7708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eoq()</w:t>
            </w:r>
          </w:p>
        </w:tc>
        <w:tc>
          <w:tcPr>
            <w:tcW w:w="6264" w:type="dxa"/>
            <w:vAlign w:val="center"/>
          </w:tcPr>
          <w:p w14:paraId="5A8B7269" w14:textId="18C19A9D" w:rsidR="00CD7708" w:rsidRPr="00D6607D" w:rsidRDefault="00CD7708" w:rsidP="00354CD5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End of Quarter():</w:t>
            </w:r>
            <w:r w:rsidR="00354CD5">
              <w:rPr>
                <w:rFonts w:ascii="Century Gothic" w:hAnsi="Century Gothic"/>
                <w:b/>
                <w:sz w:val="24"/>
                <w:lang w:val="en-US"/>
              </w:rPr>
              <w:t xml:space="preserve">  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Applied to a date value it </w:t>
            </w:r>
            <w:r>
              <w:rPr>
                <w:rFonts w:ascii="Century Gothic" w:hAnsi="Century Gothic"/>
                <w:sz w:val="24"/>
                <w:lang w:val="en-US"/>
              </w:rPr>
              <w:t>sets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the target value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to the e</w:t>
            </w:r>
            <w:r>
              <w:rPr>
                <w:rFonts w:ascii="Century Gothic" w:hAnsi="Century Gothic"/>
                <w:sz w:val="24"/>
                <w:lang w:val="en-US"/>
              </w:rPr>
              <w:t>valuated end-of-current-quarter date.</w:t>
            </w:r>
          </w:p>
        </w:tc>
      </w:tr>
      <w:tr w:rsidR="00CD7708" w:rsidRPr="00D6607D" w14:paraId="377AA064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4B9E351D" w14:textId="77777777" w:rsidR="00CD7708" w:rsidRDefault="00CD7708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eofy()</w:t>
            </w:r>
          </w:p>
        </w:tc>
        <w:tc>
          <w:tcPr>
            <w:tcW w:w="6264" w:type="dxa"/>
            <w:vAlign w:val="center"/>
          </w:tcPr>
          <w:p w14:paraId="0F68831D" w14:textId="03018AD9" w:rsidR="00CD7708" w:rsidRDefault="00CD7708" w:rsidP="00354CD5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End of Fiscal Year():</w:t>
            </w:r>
            <w:r w:rsidR="00354CD5">
              <w:rPr>
                <w:rFonts w:ascii="Century Gothic" w:hAnsi="Century Gothic"/>
                <w:b/>
                <w:sz w:val="24"/>
                <w:lang w:val="en-US"/>
              </w:rPr>
              <w:t xml:space="preserve">  </w:t>
            </w:r>
            <w:r>
              <w:rPr>
                <w:rFonts w:ascii="Century Gothic" w:hAnsi="Century Gothic"/>
                <w:sz w:val="24"/>
                <w:lang w:val="en-US"/>
              </w:rPr>
              <w:t>Applied to a date value it sets the target value to the evaluated end-of-</w:t>
            </w:r>
            <w:r>
              <w:rPr>
                <w:rFonts w:ascii="Century Gothic" w:hAnsi="Century Gothic"/>
                <w:sz w:val="24"/>
                <w:lang w:val="en-US"/>
              </w:rPr>
              <w:t>fiscal-year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date.</w:t>
            </w:r>
          </w:p>
        </w:tc>
      </w:tr>
      <w:tr w:rsidR="00CD7708" w:rsidRPr="00D6607D" w14:paraId="01C81A89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4D28A64D" w14:textId="6B4B6C16" w:rsidR="00CD7708" w:rsidRDefault="00CD7708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set(n1)</w:t>
            </w:r>
          </w:p>
        </w:tc>
        <w:tc>
          <w:tcPr>
            <w:tcW w:w="6264" w:type="dxa"/>
            <w:vAlign w:val="center"/>
          </w:tcPr>
          <w:p w14:paraId="2B80A85F" w14:textId="42EE2145" w:rsidR="00CD7708" w:rsidRPr="00CD7708" w:rsidRDefault="00CD7708" w:rsidP="00354CD5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Set(n):</w:t>
            </w:r>
            <w:r w:rsidR="00354CD5">
              <w:rPr>
                <w:rFonts w:ascii="Century Gothic" w:hAnsi="Century Gothic"/>
                <w:b/>
                <w:sz w:val="24"/>
                <w:lang w:val="en-US"/>
              </w:rPr>
              <w:t xml:space="preserve">  </w:t>
            </w:r>
            <w:r w:rsidR="00354CD5">
              <w:rPr>
                <w:rFonts w:ascii="Century Gothic" w:hAnsi="Century Gothic"/>
                <w:sz w:val="24"/>
                <w:lang w:val="en-US"/>
              </w:rPr>
              <w:t xml:space="preserve">Sets the target’s value equal to the value of </w:t>
            </w:r>
            <w:r w:rsidR="00354CD5">
              <w:rPr>
                <w:rFonts w:ascii="Century Gothic" w:hAnsi="Century Gothic"/>
                <w:b/>
                <w:sz w:val="24"/>
                <w:lang w:val="en-US"/>
              </w:rPr>
              <w:t>N</w:t>
            </w:r>
            <w:r w:rsidR="00354CD5">
              <w:rPr>
                <w:rFonts w:ascii="Century Gothic" w:hAnsi="Century Gothic"/>
                <w:sz w:val="24"/>
                <w:lang w:val="en-US"/>
              </w:rPr>
              <w:t>.</w:t>
            </w:r>
          </w:p>
        </w:tc>
      </w:tr>
      <w:tr w:rsidR="00354CD5" w:rsidRPr="00D6607D" w14:paraId="23CB3B69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37CC8EF6" w14:textId="53CA0D1A" w:rsidR="00354CD5" w:rsidRPr="00354CD5" w:rsidRDefault="00354CD5" w:rsidP="00354CD5">
            <w:pPr>
              <w:rPr>
                <w:rFonts w:ascii="Century Gothic" w:hAnsi="Century Gothic"/>
                <w:i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lastRenderedPageBreak/>
              <w:t>| email(</w:t>
            </w:r>
            <w:r>
              <w:rPr>
                <w:rFonts w:ascii="Century Gothic" w:hAnsi="Century Gothic"/>
                <w:i/>
                <w:sz w:val="24"/>
                <w:lang w:val="en-US"/>
              </w:rPr>
              <w:t>to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, </w:t>
            </w:r>
            <w:r>
              <w:rPr>
                <w:rFonts w:ascii="Century Gothic" w:hAnsi="Century Gothic"/>
                <w:i/>
                <w:sz w:val="24"/>
                <w:lang w:val="en-US"/>
              </w:rPr>
              <w:t>cc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, </w:t>
            </w:r>
            <w:r>
              <w:rPr>
                <w:rFonts w:ascii="Century Gothic" w:hAnsi="Century Gothic"/>
                <w:i/>
                <w:sz w:val="24"/>
                <w:lang w:val="en-US"/>
              </w:rPr>
              <w:t>bcc,</w:t>
            </w:r>
            <w:r w:rsidRPr="00354CD5">
              <w:rPr>
                <w:rFonts w:ascii="Century Gothic" w:hAnsi="Century Gothic"/>
                <w:i/>
                <w:sz w:val="24"/>
                <w:lang w:val="en-US"/>
              </w:rPr>
              <w:t xml:space="preserve"> </w:t>
            </w:r>
            <w:r w:rsidRPr="00354CD5">
              <w:rPr>
                <w:rFonts w:ascii="Century Gothic" w:hAnsi="Century Gothic"/>
                <w:i/>
                <w:sz w:val="24"/>
                <w:lang w:val="en-US"/>
              </w:rPr>
              <w:t>[tn]</w:t>
            </w:r>
            <w:r>
              <w:rPr>
                <w:rFonts w:ascii="Century Gothic" w:hAnsi="Century Gothic"/>
                <w:i/>
                <w:sz w:val="24"/>
                <w:lang w:val="en-US"/>
              </w:rPr>
              <w:t>)</w:t>
            </w:r>
          </w:p>
        </w:tc>
        <w:tc>
          <w:tcPr>
            <w:tcW w:w="6264" w:type="dxa"/>
            <w:vAlign w:val="center"/>
          </w:tcPr>
          <w:p w14:paraId="3D954D82" w14:textId="48D8B41A" w:rsidR="00354CD5" w:rsidRPr="00354CD5" w:rsidRDefault="00354CD5" w:rsidP="0096326F">
            <w:pPr>
              <w:rPr>
                <w:rFonts w:ascii="Century Gothic" w:hAnsi="Century Gothic"/>
                <w:i/>
                <w:sz w:val="24"/>
                <w:lang w:val="en-US"/>
              </w:rPr>
            </w:pPr>
            <w:r w:rsidRPr="00354CD5">
              <w:rPr>
                <w:rFonts w:ascii="Century Gothic" w:hAnsi="Century Gothic"/>
                <w:b/>
                <w:sz w:val="24"/>
                <w:lang w:val="en-US"/>
              </w:rPr>
              <w:t>Email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>(</w:t>
            </w:r>
            <w:r>
              <w:rPr>
                <w:rFonts w:ascii="Century Gothic" w:hAnsi="Century Gothic"/>
                <w:b/>
                <w:i/>
                <w:sz w:val="24"/>
                <w:lang w:val="en-US"/>
              </w:rPr>
              <w:t xml:space="preserve">to, cc, bcc, </w:t>
            </w:r>
            <w:r>
              <w:rPr>
                <w:rFonts w:ascii="Century Gothic" w:hAnsi="Century Gothic"/>
                <w:b/>
                <w:i/>
                <w:sz w:val="24"/>
                <w:lang w:val="en-US"/>
              </w:rPr>
              <w:t>template name</w:t>
            </w:r>
            <w:r>
              <w:rPr>
                <w:rFonts w:ascii="Century Gothic" w:hAnsi="Century Gothic"/>
                <w:b/>
                <w:i/>
                <w:sz w:val="24"/>
                <w:lang w:val="en-US"/>
              </w:rPr>
              <w:t>):</w:t>
            </w:r>
            <w:r>
              <w:rPr>
                <w:rFonts w:ascii="Century Gothic" w:hAnsi="Century Gothic"/>
                <w:i/>
                <w:sz w:val="24"/>
                <w:lang w:val="en-US"/>
              </w:rPr>
              <w:t xml:space="preserve">  </w:t>
            </w:r>
            <w:r w:rsidRPr="00354CD5">
              <w:rPr>
                <w:rFonts w:ascii="Century Gothic" w:hAnsi="Century Gothic"/>
                <w:sz w:val="24"/>
                <w:lang w:val="en-US"/>
              </w:rPr>
              <w:t xml:space="preserve">Executes the delegate action set for email with.  The </w:t>
            </w:r>
            <w:r>
              <w:rPr>
                <w:rFonts w:ascii="Century Gothic" w:hAnsi="Century Gothic"/>
                <w:sz w:val="24"/>
                <w:lang w:val="en-US"/>
              </w:rPr>
              <w:t>template name is optional and can be used in the delegate action to get the content of the email.</w:t>
            </w:r>
          </w:p>
        </w:tc>
      </w:tr>
      <w:tr w:rsidR="00354CD5" w:rsidRPr="00D6607D" w14:paraId="1D596666" w14:textId="77777777" w:rsidTr="00354CD5">
        <w:trPr>
          <w:trHeight w:val="602"/>
        </w:trPr>
        <w:tc>
          <w:tcPr>
            <w:tcW w:w="3145" w:type="dxa"/>
            <w:vAlign w:val="center"/>
          </w:tcPr>
          <w:p w14:paraId="741AD796" w14:textId="22CB4D86" w:rsidR="00354CD5" w:rsidRDefault="00354CD5" w:rsidP="00354CD5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wf( [id | name] )</w:t>
            </w:r>
          </w:p>
        </w:tc>
        <w:tc>
          <w:tcPr>
            <w:tcW w:w="6264" w:type="dxa"/>
            <w:vAlign w:val="center"/>
          </w:tcPr>
          <w:p w14:paraId="1542E682" w14:textId="77777777" w:rsidR="00354CD5" w:rsidRDefault="00354CD5" w:rsidP="0096326F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Workflow( numeric key or name ):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 </w:t>
            </w:r>
            <w:r w:rsidR="00A92041">
              <w:rPr>
                <w:rFonts w:ascii="Century Gothic" w:hAnsi="Century Gothic"/>
                <w:sz w:val="24"/>
                <w:lang w:val="en-US"/>
              </w:rPr>
              <w:t>Executes the delegate action set for workflow.  This is best used to chain workflows.</w:t>
            </w:r>
          </w:p>
          <w:p w14:paraId="44CD91A6" w14:textId="33836D1E" w:rsidR="00A92041" w:rsidRPr="00A92041" w:rsidRDefault="00A92041" w:rsidP="0096326F">
            <w:pPr>
              <w:rPr>
                <w:rFonts w:ascii="Century Gothic" w:hAnsi="Century Gothic"/>
                <w:i/>
                <w:sz w:val="24"/>
                <w:lang w:val="en-US"/>
              </w:rPr>
            </w:pPr>
            <w:r w:rsidRPr="00A92041">
              <w:rPr>
                <w:rFonts w:ascii="Century Gothic" w:hAnsi="Century Gothic"/>
                <w:i/>
                <w:color w:val="C00000"/>
                <w:sz w:val="22"/>
                <w:lang w:val="en-US"/>
              </w:rPr>
              <w:t>Note:  A workflow executed from another workflow causes the calling workflow to pause until the chained workflow is complete.</w:t>
            </w:r>
          </w:p>
        </w:tc>
      </w:tr>
    </w:tbl>
    <w:p w14:paraId="468CEEE1" w14:textId="77777777" w:rsidR="000C683B" w:rsidRDefault="000C683B">
      <w:pPr>
        <w:keepLines w:val="0"/>
        <w:spacing w:before="0"/>
        <w:rPr>
          <w:rFonts w:ascii="Century Gothic" w:hAnsi="Century Gothic"/>
          <w:sz w:val="24"/>
          <w:lang w:val="en-US"/>
        </w:rPr>
      </w:pPr>
    </w:p>
    <w:p w14:paraId="19F76A6C" w14:textId="5D2D2FF8" w:rsidR="000C683B" w:rsidRDefault="000C683B" w:rsidP="000C683B">
      <w:pPr>
        <w:pStyle w:val="Heading3"/>
        <w:rPr>
          <w:sz w:val="28"/>
          <w:lang w:val="en-US"/>
        </w:rPr>
      </w:pPr>
      <w:r>
        <w:rPr>
          <w:sz w:val="28"/>
          <w:lang w:val="en-US"/>
        </w:rPr>
        <w:t>Action Results</w:t>
      </w:r>
    </w:p>
    <w:p w14:paraId="299625EC" w14:textId="24F7D152" w:rsidR="000C683B" w:rsidRPr="000C683B" w:rsidRDefault="000C683B" w:rsidP="000C683B">
      <w:pPr>
        <w:rPr>
          <w:rFonts w:ascii="Century Gothic" w:hAnsi="Century Gothic"/>
          <w:sz w:val="24"/>
          <w:lang w:val="en-US"/>
        </w:rPr>
      </w:pPr>
      <w:r w:rsidRPr="000C683B">
        <w:rPr>
          <w:rFonts w:ascii="Century Gothic" w:hAnsi="Century Gothic"/>
          <w:sz w:val="24"/>
          <w:lang w:val="en-US"/>
        </w:rPr>
        <w:t xml:space="preserve">Each </w:t>
      </w:r>
      <w:r>
        <w:rPr>
          <w:rFonts w:ascii="Century Gothic" w:hAnsi="Century Gothic"/>
          <w:sz w:val="24"/>
          <w:lang w:val="en-US"/>
        </w:rPr>
        <w:t>action will return a result to the overall st</w:t>
      </w:r>
      <w:bookmarkStart w:id="5" w:name="_GoBack"/>
      <w:bookmarkEnd w:id="5"/>
      <w:r>
        <w:rPr>
          <w:rFonts w:ascii="Century Gothic" w:hAnsi="Century Gothic"/>
          <w:sz w:val="24"/>
          <w:lang w:val="en-US"/>
        </w:rPr>
        <w:t>ep.</w:t>
      </w:r>
    </w:p>
    <w:p w14:paraId="6F04FD53" w14:textId="1B0E985A" w:rsidR="00CD7708" w:rsidRDefault="000C683B" w:rsidP="000C683B">
      <w:pPr>
        <w:pStyle w:val="Heading3"/>
        <w:rPr>
          <w:sz w:val="28"/>
          <w:lang w:val="en-US"/>
        </w:rPr>
      </w:pPr>
      <w:r w:rsidRPr="000C683B">
        <w:rPr>
          <w:sz w:val="28"/>
          <w:lang w:val="en-US"/>
        </w:rPr>
        <w:t>Sample Workflow Expression</w:t>
      </w:r>
    </w:p>
    <w:p w14:paraId="4F504903" w14:textId="77777777" w:rsidR="000C683B" w:rsidRPr="000C683B" w:rsidRDefault="000C683B" w:rsidP="000C683B">
      <w:pPr>
        <w:rPr>
          <w:lang w:val="en-US"/>
        </w:rPr>
      </w:pPr>
    </w:p>
    <w:p w14:paraId="40A94006" w14:textId="77777777" w:rsidR="00717B4A" w:rsidRDefault="00717B4A">
      <w:pPr>
        <w:keepLines w:val="0"/>
        <w:spacing w:before="0"/>
        <w:rPr>
          <w:rFonts w:ascii="Century Gothic" w:hAnsi="Century Gothic"/>
          <w:sz w:val="24"/>
          <w:lang w:val="en-US"/>
        </w:rPr>
      </w:pPr>
    </w:p>
    <w:p w14:paraId="7C4B4383" w14:textId="0CC934BC" w:rsidR="00892307" w:rsidRDefault="00892307" w:rsidP="00892307">
      <w:pPr>
        <w:rPr>
          <w:rFonts w:ascii="Century Gothic" w:hAnsi="Century Gothic"/>
          <w:sz w:val="24"/>
          <w:lang w:val="en-US"/>
        </w:rPr>
      </w:pPr>
    </w:p>
    <w:p w14:paraId="1DF8CD97" w14:textId="04B69486" w:rsidR="00717B4A" w:rsidRPr="00892307" w:rsidRDefault="00717B4A" w:rsidP="00892307">
      <w:pPr>
        <w:rPr>
          <w:rFonts w:ascii="Century Gothic" w:hAnsi="Century Gothic"/>
          <w:sz w:val="24"/>
          <w:lang w:val="en-US"/>
        </w:rPr>
      </w:pPr>
    </w:p>
    <w:p w14:paraId="5AC6FE10" w14:textId="77777777" w:rsidR="000C683B" w:rsidRDefault="000C683B">
      <w:pPr>
        <w:keepLines w:val="0"/>
        <w:spacing w:before="0"/>
        <w:rPr>
          <w:rFonts w:ascii="Arial" w:hAnsi="Arial" w:cs="Arial"/>
          <w:b/>
          <w:bCs/>
          <w:sz w:val="28"/>
          <w:szCs w:val="22"/>
          <w:lang w:val="en-US"/>
        </w:rPr>
      </w:pPr>
      <w:bookmarkStart w:id="6" w:name="_HP.Core.Validation_Expression"/>
      <w:bookmarkEnd w:id="6"/>
      <w:r>
        <w:rPr>
          <w:sz w:val="28"/>
          <w:lang w:val="en-US"/>
        </w:rPr>
        <w:br w:type="page"/>
      </w:r>
    </w:p>
    <w:p w14:paraId="0D62BDFC" w14:textId="117F46AC" w:rsidR="00A56331" w:rsidRDefault="00717B4A" w:rsidP="00717B4A">
      <w:pPr>
        <w:pStyle w:val="Heading3"/>
        <w:numPr>
          <w:ilvl w:val="0"/>
          <w:numId w:val="0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HP.Core.Validation Expression</w:t>
      </w:r>
    </w:p>
    <w:p w14:paraId="20B7C3EB" w14:textId="0FD41595" w:rsidR="00283417" w:rsidRDefault="00283417" w:rsidP="00283417">
      <w:pPr>
        <w:rPr>
          <w:rFonts w:ascii="Century Gothic" w:hAnsi="Century Gothic"/>
          <w:sz w:val="24"/>
          <w:lang w:val="en-US"/>
        </w:rPr>
      </w:pPr>
      <w:r w:rsidRPr="00283417">
        <w:rPr>
          <w:rFonts w:ascii="Century Gothic" w:hAnsi="Century Gothic"/>
          <w:sz w:val="24"/>
          <w:lang w:val="en-US"/>
        </w:rPr>
        <w:t>Modifiers</w:t>
      </w:r>
      <w:r>
        <w:rPr>
          <w:rFonts w:ascii="Century Gothic" w:hAnsi="Century Gothic"/>
          <w:sz w:val="24"/>
          <w:lang w:val="en-US"/>
        </w:rPr>
        <w:t xml:space="preserve"> are used to extend the expression.  They must be contained within the expression’s brackets and must follow the expressions target.</w:t>
      </w:r>
    </w:p>
    <w:p w14:paraId="1D1027D0" w14:textId="77777777" w:rsidR="00283417" w:rsidRPr="00283417" w:rsidRDefault="00283417" w:rsidP="00283417">
      <w:pPr>
        <w:rPr>
          <w:rFonts w:ascii="Century Gothic" w:hAnsi="Century Gothic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84"/>
      </w:tblGrid>
      <w:tr w:rsidR="00D6607D" w:rsidRPr="00D6607D" w14:paraId="12AF721B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1E9D263C" w14:textId="23155FB9" w:rsidR="00D6607D" w:rsidRPr="00D6607D" w:rsidRDefault="00D6607D" w:rsidP="00D6607D">
            <w:pPr>
              <w:rPr>
                <w:rFonts w:ascii="Century Gothic" w:hAnsi="Century Gothic"/>
                <w:sz w:val="24"/>
                <w:lang w:val="en-US"/>
              </w:rPr>
            </w:pPr>
            <w:r w:rsidRPr="00D6607D">
              <w:rPr>
                <w:rFonts w:ascii="Century Gothic" w:hAnsi="Century Gothic"/>
                <w:sz w:val="24"/>
                <w:lang w:val="en-US"/>
              </w:rPr>
              <w:t>| u</w:t>
            </w:r>
          </w:p>
        </w:tc>
        <w:tc>
          <w:tcPr>
            <w:tcW w:w="7884" w:type="dxa"/>
            <w:vAlign w:val="center"/>
          </w:tcPr>
          <w:p w14:paraId="0DD07F47" w14:textId="62781AA0" w:rsidR="00D6607D" w:rsidRPr="00D6607D" w:rsidRDefault="00D6607D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Upper Case:  Applied to a string expression and the evaluation will compare the column and expressions’s upper case values</w:t>
            </w:r>
          </w:p>
        </w:tc>
      </w:tr>
      <w:tr w:rsidR="00D6607D" w:rsidRPr="00D6607D" w14:paraId="2E31ABBD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1BBED322" w14:textId="34A2522E" w:rsidR="00D6607D" w:rsidRPr="00D6607D" w:rsidRDefault="00D6607D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l</w:t>
            </w:r>
          </w:p>
        </w:tc>
        <w:tc>
          <w:tcPr>
            <w:tcW w:w="7884" w:type="dxa"/>
            <w:vAlign w:val="center"/>
          </w:tcPr>
          <w:p w14:paraId="02B67EF8" w14:textId="2705881C" w:rsidR="00D6607D" w:rsidRPr="00D6607D" w:rsidRDefault="00D6607D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Lower Case:  Applied to a string expression and the evaluation will compare the column and expression’s lower case values.</w:t>
            </w:r>
          </w:p>
        </w:tc>
      </w:tr>
      <w:tr w:rsidR="00D6607D" w:rsidRPr="00D6607D" w14:paraId="65EB203D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5F6888DE" w14:textId="329E104D" w:rsidR="00D6607D" w:rsidRDefault="00D6607D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i</w:t>
            </w:r>
          </w:p>
        </w:tc>
        <w:tc>
          <w:tcPr>
            <w:tcW w:w="7884" w:type="dxa"/>
            <w:vAlign w:val="center"/>
          </w:tcPr>
          <w:p w14:paraId="4857A894" w14:textId="6C43B8E8" w:rsidR="00D6607D" w:rsidRDefault="00D6607D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Case Insensitive:  Applied to a string expression</w:t>
            </w:r>
            <w:r w:rsidR="0021010C">
              <w:rPr>
                <w:rFonts w:ascii="Century Gothic" w:hAnsi="Century Gothic"/>
                <w:sz w:val="24"/>
                <w:lang w:val="en-US"/>
              </w:rPr>
              <w:t xml:space="preserve"> and the evaluation will compare the column and expression’s values regardless of their case.</w:t>
            </w:r>
            <w:r w:rsidR="00652B99">
              <w:rPr>
                <w:rFonts w:ascii="Century Gothic" w:hAnsi="Century Gothic"/>
                <w:sz w:val="24"/>
                <w:lang w:val="en-US"/>
              </w:rPr>
              <w:br/>
            </w:r>
            <w:r w:rsidR="00652B99">
              <w:rPr>
                <w:rFonts w:ascii="Century Gothic" w:hAnsi="Century Gothic"/>
                <w:sz w:val="24"/>
                <w:lang w:val="en-US"/>
              </w:rPr>
              <w:br/>
            </w:r>
            <w:r w:rsidR="00652B99">
              <w:rPr>
                <w:rFonts w:ascii="Century Gothic" w:hAnsi="Century Gothic"/>
                <w:i/>
                <w:sz w:val="22"/>
                <w:lang w:val="en-US"/>
              </w:rPr>
              <w:t xml:space="preserve">[ </w:t>
            </w:r>
            <w:r w:rsidR="00652B99" w:rsidRPr="00652B99">
              <w:rPr>
                <w:rFonts w:ascii="Century Gothic" w:hAnsi="Century Gothic"/>
                <w:i/>
                <w:sz w:val="22"/>
                <w:lang w:val="en-US"/>
              </w:rPr>
              <w:t>Any string expression, by default, uses this modifier.</w:t>
            </w:r>
            <w:r w:rsidR="00652B99">
              <w:rPr>
                <w:rFonts w:ascii="Century Gothic" w:hAnsi="Century Gothic"/>
                <w:i/>
                <w:sz w:val="22"/>
                <w:lang w:val="en-US"/>
              </w:rPr>
              <w:t>]</w:t>
            </w:r>
          </w:p>
        </w:tc>
      </w:tr>
      <w:tr w:rsidR="0021010C" w:rsidRPr="00D6607D" w14:paraId="372CB8A0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38BAD742" w14:textId="6D776378" w:rsidR="0021010C" w:rsidRDefault="0021010C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r</w:t>
            </w:r>
            <w:r w:rsidR="00F94264">
              <w:rPr>
                <w:rFonts w:ascii="Century Gothic" w:hAnsi="Century Gothic"/>
                <w:sz w:val="24"/>
                <w:lang w:val="en-US"/>
              </w:rPr>
              <w:t>u</w:t>
            </w:r>
          </w:p>
        </w:tc>
        <w:tc>
          <w:tcPr>
            <w:tcW w:w="7884" w:type="dxa"/>
            <w:vAlign w:val="center"/>
          </w:tcPr>
          <w:p w14:paraId="72E0DA89" w14:textId="45E81109" w:rsidR="0021010C" w:rsidRDefault="0021010C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Round</w:t>
            </w:r>
            <w:r w:rsidR="00C17B54">
              <w:rPr>
                <w:rFonts w:ascii="Century Gothic" w:hAnsi="Century Gothic"/>
                <w:sz w:val="24"/>
                <w:lang w:val="en-US"/>
              </w:rPr>
              <w:t xml:space="preserve"> Up</w:t>
            </w:r>
            <w:r>
              <w:rPr>
                <w:rFonts w:ascii="Century Gothic" w:hAnsi="Century Gothic"/>
                <w:sz w:val="24"/>
                <w:lang w:val="en-US"/>
              </w:rPr>
              <w:t>:  Applied to a numeric expression and the evaluation will compare column’s rounded value.</w:t>
            </w:r>
          </w:p>
        </w:tc>
      </w:tr>
      <w:tr w:rsidR="00C17B54" w:rsidRPr="00D6607D" w14:paraId="12032D09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09CBA27F" w14:textId="1769838A" w:rsidR="00C17B54" w:rsidRDefault="00C17B5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rd</w:t>
            </w:r>
          </w:p>
        </w:tc>
        <w:tc>
          <w:tcPr>
            <w:tcW w:w="7884" w:type="dxa"/>
            <w:vAlign w:val="center"/>
          </w:tcPr>
          <w:p w14:paraId="64259CF4" w14:textId="72E2602E" w:rsidR="00C17B54" w:rsidRDefault="00C17B5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Round Down:  Applied to a numeric expression and the evaluation will compare column’s rounded value.</w:t>
            </w:r>
          </w:p>
        </w:tc>
      </w:tr>
      <w:tr w:rsidR="00A111AC" w:rsidRPr="00D6607D" w14:paraId="26D03500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4F147419" w14:textId="40A6BD80" w:rsidR="00A111AC" w:rsidRDefault="009E1EE4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mx</w:t>
            </w:r>
            <w:r w:rsidR="00A111AC">
              <w:rPr>
                <w:rFonts w:ascii="Century Gothic" w:hAnsi="Century Gothic"/>
                <w:sz w:val="24"/>
                <w:lang w:val="en-US"/>
              </w:rPr>
              <w:t>(n)</w:t>
            </w:r>
          </w:p>
        </w:tc>
        <w:tc>
          <w:tcPr>
            <w:tcW w:w="7884" w:type="dxa"/>
            <w:vAlign w:val="center"/>
          </w:tcPr>
          <w:p w14:paraId="45FC5224" w14:textId="53C9EFED" w:rsidR="00A111AC" w:rsidRDefault="009E1EE4" w:rsidP="00A111AC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Max</w:t>
            </w:r>
            <w:r w:rsidR="00A111AC">
              <w:rPr>
                <w:rFonts w:ascii="Century Gothic" w:hAnsi="Century Gothic"/>
                <w:b/>
                <w:sz w:val="24"/>
                <w:lang w:val="en-US"/>
              </w:rPr>
              <w:t xml:space="preserve"> (n)</w:t>
            </w:r>
            <w:r w:rsidR="00A111AC" w:rsidRPr="00A111AC">
              <w:rPr>
                <w:rFonts w:ascii="Century Gothic" w:hAnsi="Century Gothic"/>
                <w:b/>
                <w:sz w:val="24"/>
                <w:lang w:val="en-US"/>
              </w:rPr>
              <w:t xml:space="preserve">:  </w:t>
            </w:r>
            <w:r w:rsidR="00A111AC" w:rsidRPr="00A111AC">
              <w:rPr>
                <w:rFonts w:ascii="Century Gothic" w:hAnsi="Century Gothic"/>
                <w:b/>
                <w:sz w:val="24"/>
                <w:lang w:val="en-US"/>
              </w:rPr>
              <w:br/>
            </w:r>
            <w:r w:rsidR="00A111AC">
              <w:rPr>
                <w:rFonts w:ascii="Century Gothic" w:hAnsi="Century Gothic"/>
                <w:sz w:val="24"/>
                <w:lang w:val="en-US"/>
              </w:rPr>
              <w:t xml:space="preserve">Text Based - When applied to a text value this will validate that the value is not greater than </w:t>
            </w:r>
            <w:r w:rsidR="00A111AC">
              <w:rPr>
                <w:rFonts w:ascii="Century Gothic" w:hAnsi="Century Gothic"/>
                <w:b/>
                <w:sz w:val="24"/>
                <w:lang w:val="en-US"/>
              </w:rPr>
              <w:t>N</w:t>
            </w:r>
            <w:r w:rsidR="00A111AC">
              <w:rPr>
                <w:rFonts w:ascii="Century Gothic" w:hAnsi="Century Gothic"/>
                <w:sz w:val="24"/>
                <w:lang w:val="en-US"/>
              </w:rPr>
              <w:t>.</w:t>
            </w:r>
          </w:p>
          <w:p w14:paraId="5EB6D32C" w14:textId="643C8031" w:rsidR="00A111AC" w:rsidRDefault="00A111AC" w:rsidP="00A111AC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 xml:space="preserve">Number Based – When applied to a numeric value this will validate that the value is not greater than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>N</w:t>
            </w:r>
            <w:r>
              <w:rPr>
                <w:rFonts w:ascii="Century Gothic" w:hAnsi="Century Gothic"/>
                <w:sz w:val="24"/>
                <w:lang w:val="en-US"/>
              </w:rPr>
              <w:t>.</w:t>
            </w:r>
          </w:p>
        </w:tc>
      </w:tr>
      <w:tr w:rsidR="009E1EE4" w:rsidRPr="00D6607D" w14:paraId="0E507BB6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258FFEA0" w14:textId="4244E280" w:rsidR="009E1EE4" w:rsidRDefault="009E1EE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m</w:t>
            </w:r>
            <w:r w:rsidR="002A2554">
              <w:rPr>
                <w:rFonts w:ascii="Century Gothic" w:hAnsi="Century Gothic"/>
                <w:sz w:val="24"/>
                <w:lang w:val="en-US"/>
              </w:rPr>
              <w:t>n</w:t>
            </w:r>
            <w:r>
              <w:rPr>
                <w:rFonts w:ascii="Century Gothic" w:hAnsi="Century Gothic"/>
                <w:sz w:val="24"/>
                <w:lang w:val="en-US"/>
              </w:rPr>
              <w:t>(n)</w:t>
            </w:r>
          </w:p>
        </w:tc>
        <w:tc>
          <w:tcPr>
            <w:tcW w:w="7884" w:type="dxa"/>
            <w:vAlign w:val="center"/>
          </w:tcPr>
          <w:p w14:paraId="20281120" w14:textId="3B0160BA" w:rsidR="009E1EE4" w:rsidRDefault="009E1EE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Min (n)</w:t>
            </w:r>
            <w:r w:rsidRPr="00A111AC">
              <w:rPr>
                <w:rFonts w:ascii="Century Gothic" w:hAnsi="Century Gothic"/>
                <w:b/>
                <w:sz w:val="24"/>
                <w:lang w:val="en-US"/>
              </w:rPr>
              <w:t xml:space="preserve">:  </w:t>
            </w:r>
            <w:r w:rsidRPr="00A111AC">
              <w:rPr>
                <w:rFonts w:ascii="Century Gothic" w:hAnsi="Century Gothic"/>
                <w:b/>
                <w:sz w:val="24"/>
                <w:lang w:val="en-US"/>
              </w:rPr>
              <w:br/>
            </w:r>
            <w:r>
              <w:rPr>
                <w:rFonts w:ascii="Century Gothic" w:hAnsi="Century Gothic"/>
                <w:sz w:val="24"/>
                <w:lang w:val="en-US"/>
              </w:rPr>
              <w:t xml:space="preserve">Text Based - When applied to a text value this will validate that the value’s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>length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is less than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>N</w:t>
            </w:r>
            <w:r>
              <w:rPr>
                <w:rFonts w:ascii="Century Gothic" w:hAnsi="Century Gothic"/>
                <w:sz w:val="24"/>
                <w:lang w:val="en-US"/>
              </w:rPr>
              <w:t>.</w:t>
            </w:r>
          </w:p>
          <w:p w14:paraId="3C25B9AA" w14:textId="66E8D48E" w:rsidR="009E1EE4" w:rsidRDefault="009E1EE4" w:rsidP="009E1EE4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 xml:space="preserve">Number Based – When applied to a numeric value this will validate that the value is less than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>N</w:t>
            </w:r>
            <w:r>
              <w:rPr>
                <w:rFonts w:ascii="Century Gothic" w:hAnsi="Century Gothic"/>
                <w:sz w:val="24"/>
                <w:lang w:val="en-US"/>
              </w:rPr>
              <w:t>.</w:t>
            </w:r>
          </w:p>
        </w:tc>
      </w:tr>
      <w:tr w:rsidR="009E1EE4" w:rsidRPr="00D6607D" w14:paraId="097340F7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4B09C1B6" w14:textId="0D2F2DE5" w:rsidR="009E1EE4" w:rsidRDefault="009E1EE4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b(n1,n2)</w:t>
            </w:r>
          </w:p>
        </w:tc>
        <w:tc>
          <w:tcPr>
            <w:tcW w:w="7884" w:type="dxa"/>
            <w:vAlign w:val="center"/>
          </w:tcPr>
          <w:p w14:paraId="505935D6" w14:textId="4EC01E7A" w:rsidR="009E1EE4" w:rsidRPr="009E1EE4" w:rsidRDefault="009E1EE4" w:rsidP="009E1EE4">
            <w:pPr>
              <w:rPr>
                <w:rFonts w:ascii="Century Gothic" w:hAnsi="Century Gothic"/>
                <w:b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Between (n1, n2):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 Applied to a numeric expression and the evaluation will apply a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>between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comparison using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 xml:space="preserve">n1 </w:t>
            </w:r>
            <w:r w:rsidRPr="009E1EE4">
              <w:rPr>
                <w:rFonts w:ascii="Century Gothic" w:hAnsi="Century Gothic"/>
                <w:sz w:val="24"/>
                <w:lang w:val="en-US"/>
              </w:rPr>
              <w:t>and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 xml:space="preserve"> n2</w:t>
            </w:r>
          </w:p>
        </w:tc>
      </w:tr>
      <w:tr w:rsidR="00636B03" w:rsidRPr="00D6607D" w14:paraId="4082EE10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79C88EA8" w14:textId="1F1AED46" w:rsidR="00636B03" w:rsidRPr="00636B03" w:rsidRDefault="00636B03" w:rsidP="00F00623">
            <w:pPr>
              <w:rPr>
                <w:rFonts w:ascii="Century Gothic" w:hAnsi="Century Gothic"/>
                <w:i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 xml:space="preserve">| in(n1, </w:t>
            </w:r>
            <w:r w:rsidR="00F00623">
              <w:rPr>
                <w:rFonts w:ascii="Century Gothic" w:hAnsi="Century Gothic"/>
                <w:sz w:val="24"/>
                <w:lang w:val="en-US"/>
              </w:rPr>
              <w:t>…)</w:t>
            </w:r>
          </w:p>
        </w:tc>
        <w:tc>
          <w:tcPr>
            <w:tcW w:w="7884" w:type="dxa"/>
            <w:vAlign w:val="center"/>
          </w:tcPr>
          <w:p w14:paraId="1E15AC62" w14:textId="2D4AAB86" w:rsidR="00636B03" w:rsidRPr="00636B03" w:rsidRDefault="00636B03" w:rsidP="009E1EE4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 xml:space="preserve">In(n1, </w:t>
            </w:r>
            <w:r>
              <w:rPr>
                <w:rFonts w:ascii="Century Gothic" w:hAnsi="Century Gothic"/>
                <w:b/>
                <w:i/>
                <w:sz w:val="24"/>
                <w:lang w:val="en-US"/>
              </w:rPr>
              <w:t>n2, n3, …)</w:t>
            </w:r>
            <w:r>
              <w:rPr>
                <w:rFonts w:ascii="Century Gothic" w:hAnsi="Century Gothic"/>
                <w:sz w:val="24"/>
                <w:lang w:val="en-US"/>
              </w:rPr>
              <w:t>: Applied to a Numeric or text based expression and the evaluation will test if the target is one of the values  in the parameter list.</w:t>
            </w:r>
          </w:p>
        </w:tc>
      </w:tr>
      <w:tr w:rsidR="001A667E" w:rsidRPr="00D6607D" w14:paraId="203EFEC4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3EF60B9C" w14:textId="2BC072C2" w:rsidR="001A667E" w:rsidRDefault="001A667E" w:rsidP="00D6607D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e</w:t>
            </w:r>
          </w:p>
        </w:tc>
        <w:tc>
          <w:tcPr>
            <w:tcW w:w="7884" w:type="dxa"/>
            <w:vAlign w:val="center"/>
          </w:tcPr>
          <w:p w14:paraId="00282C7A" w14:textId="2B047C9D" w:rsidR="001A667E" w:rsidRPr="001A667E" w:rsidRDefault="001A667E" w:rsidP="009E1EE4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Email</w:t>
            </w:r>
            <w:r>
              <w:rPr>
                <w:rFonts w:ascii="Century Gothic" w:hAnsi="Century Gothic"/>
                <w:sz w:val="24"/>
                <w:lang w:val="en-US"/>
              </w:rPr>
              <w:t>:  Applied to a string expression and the evaluation will consider the target to be an email address, and will validate it accordingly.</w:t>
            </w:r>
          </w:p>
        </w:tc>
      </w:tr>
      <w:tr w:rsidR="00CC3BF4" w:rsidRPr="00D6607D" w14:paraId="5892D703" w14:textId="77777777" w:rsidTr="00F00623">
        <w:trPr>
          <w:trHeight w:val="602"/>
        </w:trPr>
        <w:tc>
          <w:tcPr>
            <w:tcW w:w="1525" w:type="dxa"/>
            <w:vAlign w:val="center"/>
          </w:tcPr>
          <w:p w14:paraId="3C900EFD" w14:textId="476F4ED2" w:rsidR="00CC3BF4" w:rsidRDefault="00CC3BF4" w:rsidP="00CC3BF4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| r</w:t>
            </w:r>
          </w:p>
        </w:tc>
        <w:tc>
          <w:tcPr>
            <w:tcW w:w="7884" w:type="dxa"/>
            <w:vAlign w:val="center"/>
          </w:tcPr>
          <w:p w14:paraId="7D9BDF5E" w14:textId="77777777" w:rsidR="00CC3BF4" w:rsidRDefault="00CC3BF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Required</w:t>
            </w:r>
            <w:r>
              <w:rPr>
                <w:rFonts w:ascii="Century Gothic" w:hAnsi="Century Gothic"/>
                <w:sz w:val="24"/>
                <w:lang w:val="en-US"/>
              </w:rPr>
              <w:t>:  Used after or a modifier or used alone this will set the main expression to require a value.</w:t>
            </w:r>
          </w:p>
          <w:p w14:paraId="5FD502B9" w14:textId="77777777" w:rsidR="00CC3BF4" w:rsidRDefault="00CC3BF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Example:  The following expression, [ this | mn(5), r ], will require the column being valiated to have a value.</w:t>
            </w:r>
          </w:p>
          <w:p w14:paraId="09D64A81" w14:textId="77777777" w:rsidR="00CC3BF4" w:rsidRPr="00C17B54" w:rsidRDefault="00CC3BF4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lastRenderedPageBreak/>
              <w:t xml:space="preserve">Alternative Method:  This modifier will have the same effect using the minimum modifier set to mn(1) for a text based column.  However the </w:t>
            </w:r>
            <w:r>
              <w:rPr>
                <w:rFonts w:ascii="Century Gothic" w:hAnsi="Century Gothic"/>
                <w:b/>
                <w:sz w:val="24"/>
                <w:lang w:val="en-US"/>
              </w:rPr>
              <w:t xml:space="preserve">r </w:t>
            </w:r>
            <w:r>
              <w:rPr>
                <w:rFonts w:ascii="Century Gothic" w:hAnsi="Century Gothic"/>
                <w:sz w:val="24"/>
                <w:lang w:val="en-US"/>
              </w:rPr>
              <w:t>modifier is more reliable when going between text based and number based values.</w:t>
            </w:r>
          </w:p>
          <w:p w14:paraId="7CF4DB6D" w14:textId="77777777" w:rsidR="00CC3BF4" w:rsidRPr="00974C0E" w:rsidRDefault="00CC3BF4" w:rsidP="00934E88">
            <w:pPr>
              <w:rPr>
                <w:rFonts w:ascii="Century Gothic" w:hAnsi="Century Gothic"/>
                <w:sz w:val="24"/>
                <w:lang w:val="en-US"/>
              </w:rPr>
            </w:pPr>
          </w:p>
        </w:tc>
      </w:tr>
    </w:tbl>
    <w:p w14:paraId="2AECEB08" w14:textId="3B5D4309" w:rsidR="001376D0" w:rsidRDefault="001376D0" w:rsidP="00717B4A">
      <w:pPr>
        <w:pStyle w:val="Heading3"/>
        <w:numPr>
          <w:ilvl w:val="0"/>
          <w:numId w:val="0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Flags</w:t>
      </w:r>
    </w:p>
    <w:p w14:paraId="5E0149F3" w14:textId="3D7B9BC5" w:rsidR="001376D0" w:rsidRDefault="001376D0" w:rsidP="001376D0">
      <w:pPr>
        <w:rPr>
          <w:rFonts w:ascii="Century Gothic" w:hAnsi="Century Gothic"/>
          <w:sz w:val="24"/>
          <w:lang w:val="en-US"/>
        </w:rPr>
      </w:pPr>
      <w:r>
        <w:rPr>
          <w:rFonts w:ascii="Century Gothic" w:hAnsi="Century Gothic"/>
          <w:sz w:val="24"/>
          <w:lang w:val="en-US"/>
        </w:rPr>
        <w:t>Flags are used as options for the modifiers.  They must be contained within the expression’s brackets and must follow the expressions modifier separated by commas.</w:t>
      </w:r>
      <w:r w:rsidR="00CC3BF4">
        <w:rPr>
          <w:rFonts w:ascii="Century Gothic" w:hAnsi="Century Gothic"/>
          <w:sz w:val="24"/>
          <w:lang w:val="en-US"/>
        </w:rPr>
        <w:t xml:space="preserve">  As of this document’s version there is only one flag.</w:t>
      </w:r>
    </w:p>
    <w:p w14:paraId="35E8C288" w14:textId="77777777" w:rsidR="00CC3BF4" w:rsidRDefault="00CC3BF4" w:rsidP="001376D0">
      <w:pPr>
        <w:rPr>
          <w:rFonts w:ascii="Century Gothic" w:hAnsi="Century Gothic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74"/>
      </w:tblGrid>
      <w:tr w:rsidR="001376D0" w:rsidRPr="00D6607D" w14:paraId="223CAFD7" w14:textId="77777777" w:rsidTr="00934E88">
        <w:trPr>
          <w:trHeight w:val="602"/>
        </w:trPr>
        <w:tc>
          <w:tcPr>
            <w:tcW w:w="1435" w:type="dxa"/>
            <w:vAlign w:val="center"/>
          </w:tcPr>
          <w:p w14:paraId="4981F34C" w14:textId="016E7907" w:rsidR="001376D0" w:rsidRDefault="001376D0" w:rsidP="001376D0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>, f</w:t>
            </w:r>
          </w:p>
        </w:tc>
        <w:tc>
          <w:tcPr>
            <w:tcW w:w="7974" w:type="dxa"/>
            <w:vAlign w:val="center"/>
          </w:tcPr>
          <w:p w14:paraId="195F84AD" w14:textId="77777777" w:rsidR="001376D0" w:rsidRDefault="001376D0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b/>
                <w:sz w:val="24"/>
                <w:lang w:val="en-US"/>
              </w:rPr>
              <w:t>Force</w:t>
            </w:r>
            <w:r>
              <w:rPr>
                <w:rFonts w:ascii="Century Gothic" w:hAnsi="Century Gothic"/>
                <w:sz w:val="24"/>
                <w:lang w:val="en-US"/>
              </w:rPr>
              <w:t>:  Used within a string based expression this will force the main modifier to apply to the value instead of just validating against it.</w:t>
            </w:r>
          </w:p>
          <w:p w14:paraId="0071A111" w14:textId="77777777" w:rsidR="001376D0" w:rsidRPr="00974C0E" w:rsidRDefault="001376D0" w:rsidP="00934E88">
            <w:pPr>
              <w:rPr>
                <w:rFonts w:ascii="Century Gothic" w:hAnsi="Century Gothic"/>
                <w:sz w:val="24"/>
                <w:lang w:val="en-US"/>
              </w:rPr>
            </w:pPr>
            <w:r>
              <w:rPr>
                <w:rFonts w:ascii="Century Gothic" w:hAnsi="Century Gothic"/>
                <w:sz w:val="24"/>
                <w:lang w:val="en-US"/>
              </w:rPr>
              <w:t xml:space="preserve">Example:  The following expression, [ this | u, f ], will force the value of </w:t>
            </w:r>
            <w:r>
              <w:rPr>
                <w:rFonts w:ascii="Century Gothic" w:hAnsi="Century Gothic"/>
                <w:b/>
                <w:i/>
                <w:sz w:val="24"/>
                <w:lang w:val="en-US"/>
              </w:rPr>
              <w:t>this</w:t>
            </w:r>
            <w:r>
              <w:rPr>
                <w:rFonts w:ascii="Century Gothic" w:hAnsi="Century Gothic"/>
                <w:sz w:val="24"/>
                <w:lang w:val="en-US"/>
              </w:rPr>
              <w:t xml:space="preserve"> to be in upper case.</w:t>
            </w:r>
          </w:p>
        </w:tc>
      </w:tr>
    </w:tbl>
    <w:p w14:paraId="1AFA38E0" w14:textId="7D90E694" w:rsidR="00D6607D" w:rsidRPr="00D6607D" w:rsidRDefault="00D6607D" w:rsidP="00D6607D">
      <w:pPr>
        <w:rPr>
          <w:lang w:val="en-US"/>
        </w:rPr>
      </w:pPr>
    </w:p>
    <w:sectPr w:rsidR="00D6607D" w:rsidRPr="00D6607D" w:rsidSect="004E17EE">
      <w:headerReference w:type="default" r:id="rId12"/>
      <w:footerReference w:type="default" r:id="rId13"/>
      <w:type w:val="continuous"/>
      <w:pgSz w:w="11907" w:h="16840" w:code="9"/>
      <w:pgMar w:top="1800" w:right="1138" w:bottom="1080" w:left="135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F5AB2" w14:textId="77777777" w:rsidR="00845FE2" w:rsidRDefault="00845FE2">
      <w:r>
        <w:separator/>
      </w:r>
    </w:p>
  </w:endnote>
  <w:endnote w:type="continuationSeparator" w:id="0">
    <w:p w14:paraId="7E18B9BB" w14:textId="77777777" w:rsidR="00845FE2" w:rsidRDefault="0084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DC6EB" w14:textId="5CBE87F0" w:rsidR="00A24CD8" w:rsidRDefault="00A24CD8">
    <w:pPr>
      <w:pStyle w:val="Footer"/>
      <w:tabs>
        <w:tab w:val="left" w:pos="7230"/>
      </w:tabs>
      <w:ind w:right="141"/>
      <w:jc w:val="left"/>
    </w:pPr>
    <w:r>
      <w:rPr>
        <w:sz w:val="16"/>
        <w:szCs w:val="16"/>
      </w:rPr>
      <w:t xml:space="preserve">Last updated: </w:t>
    </w:r>
    <w:r w:rsidRPr="00EE61F7">
      <w:rPr>
        <w:color w:val="auto"/>
        <w:sz w:val="16"/>
        <w:szCs w:val="16"/>
      </w:rPr>
      <w:fldChar w:fldCharType="begin"/>
    </w:r>
    <w:r w:rsidRPr="00EE61F7">
      <w:rPr>
        <w:color w:val="auto"/>
        <w:sz w:val="16"/>
        <w:szCs w:val="16"/>
      </w:rPr>
      <w:instrText xml:space="preserve"> DATE \@ "dd/MM/yyyy" </w:instrText>
    </w:r>
    <w:r w:rsidRPr="00EE61F7">
      <w:rPr>
        <w:color w:val="auto"/>
        <w:sz w:val="16"/>
        <w:szCs w:val="16"/>
      </w:rPr>
      <w:fldChar w:fldCharType="separate"/>
    </w:r>
    <w:r w:rsidR="00FD6F8D">
      <w:rPr>
        <w:noProof/>
        <w:color w:val="auto"/>
        <w:sz w:val="16"/>
        <w:szCs w:val="16"/>
      </w:rPr>
      <w:t>31/01/2018</w:t>
    </w:r>
    <w:r w:rsidRPr="00EE61F7">
      <w:rPr>
        <w:color w:val="auto"/>
        <w:sz w:val="16"/>
        <w:szCs w:val="16"/>
      </w:rPr>
      <w:fldChar w:fldCharType="end"/>
    </w:r>
    <w:r>
      <w:rPr>
        <w:sz w:val="16"/>
        <w:szCs w:val="16"/>
      </w:rPr>
      <w:tab/>
      <w:t xml:space="preserve">Page: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1918C1">
      <w:rPr>
        <w:rStyle w:val="PageNumber"/>
        <w:noProof/>
        <w:sz w:val="16"/>
        <w:szCs w:val="16"/>
      </w:rPr>
      <w:t>7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918C1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2002" w14:textId="77777777" w:rsidR="00845FE2" w:rsidRDefault="00845FE2">
      <w:r>
        <w:separator/>
      </w:r>
    </w:p>
  </w:footnote>
  <w:footnote w:type="continuationSeparator" w:id="0">
    <w:p w14:paraId="0A45808F" w14:textId="77777777" w:rsidR="00845FE2" w:rsidRDefault="0084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B9C87" w14:textId="790800EA" w:rsidR="00A24CD8" w:rsidRDefault="00BB7869">
    <w:pPr>
      <w:pStyle w:val="Header"/>
      <w:spacing w:before="0"/>
    </w:pPr>
    <w:r>
      <w:rPr>
        <w:noProof/>
        <w:lang w:val="en-US"/>
      </w:rPr>
      <w:drawing>
        <wp:inline distT="0" distB="0" distL="0" distR="0" wp14:anchorId="4317FE7A" wp14:editId="71E113CF">
          <wp:extent cx="380952" cy="380952"/>
          <wp:effectExtent l="0" t="0" r="635" b="635"/>
          <wp:docPr id="195" name="Picture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H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952" cy="380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0DA"/>
    <w:multiLevelType w:val="hybridMultilevel"/>
    <w:tmpl w:val="16D429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F43054"/>
    <w:multiLevelType w:val="hybridMultilevel"/>
    <w:tmpl w:val="BDACEA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F70E10"/>
    <w:multiLevelType w:val="multilevel"/>
    <w:tmpl w:val="8702E7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20379AB"/>
    <w:multiLevelType w:val="hybridMultilevel"/>
    <w:tmpl w:val="7B200B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84FFE"/>
    <w:multiLevelType w:val="hybridMultilevel"/>
    <w:tmpl w:val="E11235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A4DA9"/>
    <w:multiLevelType w:val="hybridMultilevel"/>
    <w:tmpl w:val="520AB3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073744"/>
    <w:multiLevelType w:val="hybridMultilevel"/>
    <w:tmpl w:val="513CC3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232C3B"/>
    <w:multiLevelType w:val="hybridMultilevel"/>
    <w:tmpl w:val="D7509C58"/>
    <w:lvl w:ilvl="0" w:tplc="B4C6A00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E963D3"/>
    <w:multiLevelType w:val="hybridMultilevel"/>
    <w:tmpl w:val="A56A84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1420FA"/>
    <w:multiLevelType w:val="hybridMultilevel"/>
    <w:tmpl w:val="8A289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1600A"/>
    <w:multiLevelType w:val="hybridMultilevel"/>
    <w:tmpl w:val="8A5AFF1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52A99"/>
    <w:multiLevelType w:val="multilevel"/>
    <w:tmpl w:val="5658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2" w15:restartNumberingAfterBreak="0">
    <w:nsid w:val="686C44FC"/>
    <w:multiLevelType w:val="hybridMultilevel"/>
    <w:tmpl w:val="0DD60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3EC7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/>
        <w:sz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A0C44"/>
    <w:multiLevelType w:val="hybridMultilevel"/>
    <w:tmpl w:val="D8A60FC6"/>
    <w:lvl w:ilvl="0" w:tplc="62002B6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5540"/>
    <w:multiLevelType w:val="multilevel"/>
    <w:tmpl w:val="BDACEA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953D36"/>
    <w:multiLevelType w:val="hybridMultilevel"/>
    <w:tmpl w:val="B1C2D0A2"/>
    <w:lvl w:ilvl="0" w:tplc="66C4E9C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003362"/>
    <w:multiLevelType w:val="hybridMultilevel"/>
    <w:tmpl w:val="68A03E98"/>
    <w:lvl w:ilvl="0" w:tplc="C58048C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ACD6613"/>
    <w:multiLevelType w:val="hybridMultilevel"/>
    <w:tmpl w:val="6004F9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B1A62"/>
    <w:multiLevelType w:val="hybridMultilevel"/>
    <w:tmpl w:val="C7DCE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ECC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8"/>
  </w:num>
  <w:num w:numId="4">
    <w:abstractNumId w:val="11"/>
  </w:num>
  <w:num w:numId="5">
    <w:abstractNumId w:val="16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7"/>
  </w:num>
  <w:num w:numId="12">
    <w:abstractNumId w:val="0"/>
  </w:num>
  <w:num w:numId="13">
    <w:abstractNumId w:val="15"/>
  </w:num>
  <w:num w:numId="14">
    <w:abstractNumId w:val="1"/>
  </w:num>
  <w:num w:numId="15">
    <w:abstractNumId w:val="14"/>
  </w:num>
  <w:num w:numId="16">
    <w:abstractNumId w:val="7"/>
  </w:num>
  <w:num w:numId="17">
    <w:abstractNumId w:val="3"/>
  </w:num>
  <w:num w:numId="18">
    <w:abstractNumId w:val="10"/>
  </w:num>
  <w:num w:numId="1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73"/>
    <w:rsid w:val="00000222"/>
    <w:rsid w:val="00000873"/>
    <w:rsid w:val="00003212"/>
    <w:rsid w:val="0000390D"/>
    <w:rsid w:val="00003E34"/>
    <w:rsid w:val="00006968"/>
    <w:rsid w:val="00007468"/>
    <w:rsid w:val="0001086F"/>
    <w:rsid w:val="0001138E"/>
    <w:rsid w:val="00011B88"/>
    <w:rsid w:val="000133AB"/>
    <w:rsid w:val="000136E9"/>
    <w:rsid w:val="000138C6"/>
    <w:rsid w:val="00013B9C"/>
    <w:rsid w:val="00013EA7"/>
    <w:rsid w:val="000145AF"/>
    <w:rsid w:val="00014ACE"/>
    <w:rsid w:val="00017D66"/>
    <w:rsid w:val="00017F1E"/>
    <w:rsid w:val="0002009C"/>
    <w:rsid w:val="00020F90"/>
    <w:rsid w:val="000221EA"/>
    <w:rsid w:val="000232C3"/>
    <w:rsid w:val="0002356B"/>
    <w:rsid w:val="0002366F"/>
    <w:rsid w:val="00024598"/>
    <w:rsid w:val="0002499D"/>
    <w:rsid w:val="00024E2A"/>
    <w:rsid w:val="000255BF"/>
    <w:rsid w:val="000265CA"/>
    <w:rsid w:val="00026C2D"/>
    <w:rsid w:val="00027B83"/>
    <w:rsid w:val="00027DAA"/>
    <w:rsid w:val="00035AAE"/>
    <w:rsid w:val="000362D4"/>
    <w:rsid w:val="0003700F"/>
    <w:rsid w:val="0004013E"/>
    <w:rsid w:val="00040420"/>
    <w:rsid w:val="00040C3D"/>
    <w:rsid w:val="000411F0"/>
    <w:rsid w:val="0004163C"/>
    <w:rsid w:val="000418CD"/>
    <w:rsid w:val="00041D1E"/>
    <w:rsid w:val="0004239F"/>
    <w:rsid w:val="00042B83"/>
    <w:rsid w:val="000433A6"/>
    <w:rsid w:val="0004444E"/>
    <w:rsid w:val="00044E63"/>
    <w:rsid w:val="00045099"/>
    <w:rsid w:val="00045BC3"/>
    <w:rsid w:val="00046379"/>
    <w:rsid w:val="0005059D"/>
    <w:rsid w:val="0005078B"/>
    <w:rsid w:val="00050A54"/>
    <w:rsid w:val="00050AE5"/>
    <w:rsid w:val="00051B8E"/>
    <w:rsid w:val="00051D39"/>
    <w:rsid w:val="00052A75"/>
    <w:rsid w:val="00052DE7"/>
    <w:rsid w:val="000531E1"/>
    <w:rsid w:val="0005353A"/>
    <w:rsid w:val="0005377A"/>
    <w:rsid w:val="00054337"/>
    <w:rsid w:val="00054CF2"/>
    <w:rsid w:val="00054D84"/>
    <w:rsid w:val="000555B3"/>
    <w:rsid w:val="00055B03"/>
    <w:rsid w:val="00055B99"/>
    <w:rsid w:val="00061281"/>
    <w:rsid w:val="00061577"/>
    <w:rsid w:val="000615D8"/>
    <w:rsid w:val="00061CE2"/>
    <w:rsid w:val="00062C81"/>
    <w:rsid w:val="00064028"/>
    <w:rsid w:val="00064370"/>
    <w:rsid w:val="000662FC"/>
    <w:rsid w:val="00066D56"/>
    <w:rsid w:val="00067F7E"/>
    <w:rsid w:val="000705AB"/>
    <w:rsid w:val="000709BA"/>
    <w:rsid w:val="00070BA7"/>
    <w:rsid w:val="00071A77"/>
    <w:rsid w:val="000754B5"/>
    <w:rsid w:val="00075B5E"/>
    <w:rsid w:val="000761F9"/>
    <w:rsid w:val="000812E6"/>
    <w:rsid w:val="0008259A"/>
    <w:rsid w:val="00084D4A"/>
    <w:rsid w:val="00084F14"/>
    <w:rsid w:val="00086051"/>
    <w:rsid w:val="0008626C"/>
    <w:rsid w:val="0009099E"/>
    <w:rsid w:val="00091F7C"/>
    <w:rsid w:val="00093EED"/>
    <w:rsid w:val="00096FF0"/>
    <w:rsid w:val="0009781D"/>
    <w:rsid w:val="000A0DE3"/>
    <w:rsid w:val="000A1D7E"/>
    <w:rsid w:val="000A3549"/>
    <w:rsid w:val="000A5100"/>
    <w:rsid w:val="000A5224"/>
    <w:rsid w:val="000A7788"/>
    <w:rsid w:val="000A79F2"/>
    <w:rsid w:val="000B03C9"/>
    <w:rsid w:val="000B0531"/>
    <w:rsid w:val="000B06C2"/>
    <w:rsid w:val="000B1AA1"/>
    <w:rsid w:val="000B206A"/>
    <w:rsid w:val="000B279F"/>
    <w:rsid w:val="000B418B"/>
    <w:rsid w:val="000B46DF"/>
    <w:rsid w:val="000B4F4C"/>
    <w:rsid w:val="000B62E5"/>
    <w:rsid w:val="000C0B3E"/>
    <w:rsid w:val="000C1C73"/>
    <w:rsid w:val="000C2429"/>
    <w:rsid w:val="000C2822"/>
    <w:rsid w:val="000C2BFC"/>
    <w:rsid w:val="000C36C0"/>
    <w:rsid w:val="000C4581"/>
    <w:rsid w:val="000C57A7"/>
    <w:rsid w:val="000C683B"/>
    <w:rsid w:val="000C6A12"/>
    <w:rsid w:val="000C6B55"/>
    <w:rsid w:val="000C7402"/>
    <w:rsid w:val="000C78CF"/>
    <w:rsid w:val="000C7F3D"/>
    <w:rsid w:val="000D1441"/>
    <w:rsid w:val="000D2BEF"/>
    <w:rsid w:val="000D58AD"/>
    <w:rsid w:val="000D5ECD"/>
    <w:rsid w:val="000D680D"/>
    <w:rsid w:val="000D699F"/>
    <w:rsid w:val="000D6F8C"/>
    <w:rsid w:val="000E08AB"/>
    <w:rsid w:val="000E10F0"/>
    <w:rsid w:val="000E1D9E"/>
    <w:rsid w:val="000E30ED"/>
    <w:rsid w:val="000E337B"/>
    <w:rsid w:val="000E38F9"/>
    <w:rsid w:val="000E3B02"/>
    <w:rsid w:val="000E3C6A"/>
    <w:rsid w:val="000E4C54"/>
    <w:rsid w:val="000E51EE"/>
    <w:rsid w:val="000E5DFF"/>
    <w:rsid w:val="000E6022"/>
    <w:rsid w:val="000E610B"/>
    <w:rsid w:val="000E771D"/>
    <w:rsid w:val="000E7B6D"/>
    <w:rsid w:val="000E7E1D"/>
    <w:rsid w:val="000F0563"/>
    <w:rsid w:val="000F1E19"/>
    <w:rsid w:val="000F2409"/>
    <w:rsid w:val="000F3561"/>
    <w:rsid w:val="000F4302"/>
    <w:rsid w:val="000F62C4"/>
    <w:rsid w:val="000F73F9"/>
    <w:rsid w:val="0010009E"/>
    <w:rsid w:val="00101FCF"/>
    <w:rsid w:val="00102219"/>
    <w:rsid w:val="00102DB8"/>
    <w:rsid w:val="0010393E"/>
    <w:rsid w:val="00103E43"/>
    <w:rsid w:val="00104433"/>
    <w:rsid w:val="00104491"/>
    <w:rsid w:val="0010457D"/>
    <w:rsid w:val="00104DC3"/>
    <w:rsid w:val="00104F75"/>
    <w:rsid w:val="00104FDD"/>
    <w:rsid w:val="001052BD"/>
    <w:rsid w:val="001069E4"/>
    <w:rsid w:val="001070B1"/>
    <w:rsid w:val="001077B8"/>
    <w:rsid w:val="00107CFE"/>
    <w:rsid w:val="00110BA0"/>
    <w:rsid w:val="001112A7"/>
    <w:rsid w:val="0011198D"/>
    <w:rsid w:val="001122CF"/>
    <w:rsid w:val="001140A4"/>
    <w:rsid w:val="001158CB"/>
    <w:rsid w:val="00116184"/>
    <w:rsid w:val="001201AF"/>
    <w:rsid w:val="00120E7F"/>
    <w:rsid w:val="001217B4"/>
    <w:rsid w:val="00121EAB"/>
    <w:rsid w:val="001252B1"/>
    <w:rsid w:val="00127E33"/>
    <w:rsid w:val="001305EF"/>
    <w:rsid w:val="00131529"/>
    <w:rsid w:val="001319C2"/>
    <w:rsid w:val="00131B33"/>
    <w:rsid w:val="00132056"/>
    <w:rsid w:val="001322CC"/>
    <w:rsid w:val="00132B5C"/>
    <w:rsid w:val="001334A7"/>
    <w:rsid w:val="00133BE2"/>
    <w:rsid w:val="00134526"/>
    <w:rsid w:val="0013768F"/>
    <w:rsid w:val="001376D0"/>
    <w:rsid w:val="00140359"/>
    <w:rsid w:val="00140E8B"/>
    <w:rsid w:val="0014191E"/>
    <w:rsid w:val="00146BA9"/>
    <w:rsid w:val="00147BA5"/>
    <w:rsid w:val="00147C53"/>
    <w:rsid w:val="0015072B"/>
    <w:rsid w:val="00152EF7"/>
    <w:rsid w:val="00153D9F"/>
    <w:rsid w:val="00153F1A"/>
    <w:rsid w:val="00154A6F"/>
    <w:rsid w:val="00154B53"/>
    <w:rsid w:val="00154C8E"/>
    <w:rsid w:val="001550D4"/>
    <w:rsid w:val="0015535C"/>
    <w:rsid w:val="001554C2"/>
    <w:rsid w:val="0015573B"/>
    <w:rsid w:val="0015787B"/>
    <w:rsid w:val="00157A9F"/>
    <w:rsid w:val="001603D6"/>
    <w:rsid w:val="00162EB6"/>
    <w:rsid w:val="00162F8C"/>
    <w:rsid w:val="00163A54"/>
    <w:rsid w:val="00163CCA"/>
    <w:rsid w:val="001641B7"/>
    <w:rsid w:val="00164FA8"/>
    <w:rsid w:val="001662D6"/>
    <w:rsid w:val="00166D7D"/>
    <w:rsid w:val="001672FC"/>
    <w:rsid w:val="00167DCB"/>
    <w:rsid w:val="00170AAD"/>
    <w:rsid w:val="00171DAA"/>
    <w:rsid w:val="00172281"/>
    <w:rsid w:val="0017250A"/>
    <w:rsid w:val="00173733"/>
    <w:rsid w:val="00173A5D"/>
    <w:rsid w:val="00173AC0"/>
    <w:rsid w:val="0017473E"/>
    <w:rsid w:val="001752A5"/>
    <w:rsid w:val="00175479"/>
    <w:rsid w:val="0017553B"/>
    <w:rsid w:val="001757A4"/>
    <w:rsid w:val="0017787A"/>
    <w:rsid w:val="00177C68"/>
    <w:rsid w:val="00182E2A"/>
    <w:rsid w:val="00185E03"/>
    <w:rsid w:val="001903DC"/>
    <w:rsid w:val="00190EFE"/>
    <w:rsid w:val="001918C1"/>
    <w:rsid w:val="00191BBC"/>
    <w:rsid w:val="0019320E"/>
    <w:rsid w:val="00196A6C"/>
    <w:rsid w:val="00196C67"/>
    <w:rsid w:val="00197118"/>
    <w:rsid w:val="00197860"/>
    <w:rsid w:val="00197BC8"/>
    <w:rsid w:val="001A0B01"/>
    <w:rsid w:val="001A1259"/>
    <w:rsid w:val="001A1611"/>
    <w:rsid w:val="001A2EEB"/>
    <w:rsid w:val="001A3DF5"/>
    <w:rsid w:val="001A4521"/>
    <w:rsid w:val="001A4DBA"/>
    <w:rsid w:val="001A5407"/>
    <w:rsid w:val="001A667E"/>
    <w:rsid w:val="001A72BD"/>
    <w:rsid w:val="001A7AD4"/>
    <w:rsid w:val="001B0591"/>
    <w:rsid w:val="001B0698"/>
    <w:rsid w:val="001B0785"/>
    <w:rsid w:val="001B0864"/>
    <w:rsid w:val="001B09C0"/>
    <w:rsid w:val="001B0CF0"/>
    <w:rsid w:val="001B1D40"/>
    <w:rsid w:val="001B37C0"/>
    <w:rsid w:val="001B56F0"/>
    <w:rsid w:val="001B6ADD"/>
    <w:rsid w:val="001B6C3D"/>
    <w:rsid w:val="001B6D99"/>
    <w:rsid w:val="001B70B3"/>
    <w:rsid w:val="001B7A41"/>
    <w:rsid w:val="001C1FD5"/>
    <w:rsid w:val="001C330E"/>
    <w:rsid w:val="001C3787"/>
    <w:rsid w:val="001C3DB1"/>
    <w:rsid w:val="001C3F61"/>
    <w:rsid w:val="001C71F9"/>
    <w:rsid w:val="001C7511"/>
    <w:rsid w:val="001C7D75"/>
    <w:rsid w:val="001D0F1A"/>
    <w:rsid w:val="001D23D6"/>
    <w:rsid w:val="001D2E95"/>
    <w:rsid w:val="001D31B7"/>
    <w:rsid w:val="001D3679"/>
    <w:rsid w:val="001D3D2E"/>
    <w:rsid w:val="001D4142"/>
    <w:rsid w:val="001D432E"/>
    <w:rsid w:val="001D4F70"/>
    <w:rsid w:val="001D687B"/>
    <w:rsid w:val="001D6DC6"/>
    <w:rsid w:val="001D6F67"/>
    <w:rsid w:val="001D758A"/>
    <w:rsid w:val="001E0798"/>
    <w:rsid w:val="001E08E1"/>
    <w:rsid w:val="001E1767"/>
    <w:rsid w:val="001E1849"/>
    <w:rsid w:val="001E1AB0"/>
    <w:rsid w:val="001E1B87"/>
    <w:rsid w:val="001E3738"/>
    <w:rsid w:val="001E3929"/>
    <w:rsid w:val="001F1A3E"/>
    <w:rsid w:val="001F308A"/>
    <w:rsid w:val="001F4617"/>
    <w:rsid w:val="001F4A4F"/>
    <w:rsid w:val="001F4E04"/>
    <w:rsid w:val="001F5C53"/>
    <w:rsid w:val="001F6104"/>
    <w:rsid w:val="001F629A"/>
    <w:rsid w:val="001F6BBC"/>
    <w:rsid w:val="001F6D02"/>
    <w:rsid w:val="001F74C8"/>
    <w:rsid w:val="001F7A80"/>
    <w:rsid w:val="00201605"/>
    <w:rsid w:val="002022A0"/>
    <w:rsid w:val="00202CF1"/>
    <w:rsid w:val="00204810"/>
    <w:rsid w:val="00204C1D"/>
    <w:rsid w:val="00204D9A"/>
    <w:rsid w:val="0020504A"/>
    <w:rsid w:val="0020560C"/>
    <w:rsid w:val="002100EE"/>
    <w:rsid w:val="0021010C"/>
    <w:rsid w:val="00210E7D"/>
    <w:rsid w:val="002110F1"/>
    <w:rsid w:val="002132A1"/>
    <w:rsid w:val="00213348"/>
    <w:rsid w:val="002133B2"/>
    <w:rsid w:val="00213670"/>
    <w:rsid w:val="002142F8"/>
    <w:rsid w:val="00214612"/>
    <w:rsid w:val="002158BC"/>
    <w:rsid w:val="00215BA4"/>
    <w:rsid w:val="00215CBB"/>
    <w:rsid w:val="00215CF7"/>
    <w:rsid w:val="00220005"/>
    <w:rsid w:val="00221631"/>
    <w:rsid w:val="00221AFC"/>
    <w:rsid w:val="00221BEF"/>
    <w:rsid w:val="00221CB6"/>
    <w:rsid w:val="00221D7D"/>
    <w:rsid w:val="00223303"/>
    <w:rsid w:val="0022468E"/>
    <w:rsid w:val="00225234"/>
    <w:rsid w:val="00225316"/>
    <w:rsid w:val="00225BFD"/>
    <w:rsid w:val="00225DB3"/>
    <w:rsid w:val="00227019"/>
    <w:rsid w:val="0022731D"/>
    <w:rsid w:val="00227458"/>
    <w:rsid w:val="00227E82"/>
    <w:rsid w:val="002312B7"/>
    <w:rsid w:val="0023225A"/>
    <w:rsid w:val="00232AF8"/>
    <w:rsid w:val="00232EF5"/>
    <w:rsid w:val="0023332E"/>
    <w:rsid w:val="00235730"/>
    <w:rsid w:val="00235EAD"/>
    <w:rsid w:val="00235EB2"/>
    <w:rsid w:val="002366E0"/>
    <w:rsid w:val="00236D5F"/>
    <w:rsid w:val="0023709C"/>
    <w:rsid w:val="002372B3"/>
    <w:rsid w:val="0023793A"/>
    <w:rsid w:val="00242DE2"/>
    <w:rsid w:val="00243E2B"/>
    <w:rsid w:val="00244FEB"/>
    <w:rsid w:val="002450AF"/>
    <w:rsid w:val="00245149"/>
    <w:rsid w:val="0024524F"/>
    <w:rsid w:val="002468C0"/>
    <w:rsid w:val="00247BEC"/>
    <w:rsid w:val="00247BF5"/>
    <w:rsid w:val="002504E3"/>
    <w:rsid w:val="00250C28"/>
    <w:rsid w:val="00251AD3"/>
    <w:rsid w:val="0025218C"/>
    <w:rsid w:val="00252203"/>
    <w:rsid w:val="002547B4"/>
    <w:rsid w:val="00254868"/>
    <w:rsid w:val="0025592E"/>
    <w:rsid w:val="002559EB"/>
    <w:rsid w:val="00257BDB"/>
    <w:rsid w:val="002615DA"/>
    <w:rsid w:val="002617F2"/>
    <w:rsid w:val="002618E5"/>
    <w:rsid w:val="00262B9A"/>
    <w:rsid w:val="002633E8"/>
    <w:rsid w:val="00263416"/>
    <w:rsid w:val="00263585"/>
    <w:rsid w:val="00264241"/>
    <w:rsid w:val="00264330"/>
    <w:rsid w:val="002645CD"/>
    <w:rsid w:val="0026579D"/>
    <w:rsid w:val="00265DD1"/>
    <w:rsid w:val="002665BF"/>
    <w:rsid w:val="00266EE2"/>
    <w:rsid w:val="00267114"/>
    <w:rsid w:val="00267BD7"/>
    <w:rsid w:val="002707A6"/>
    <w:rsid w:val="00270EC2"/>
    <w:rsid w:val="00271252"/>
    <w:rsid w:val="0027174A"/>
    <w:rsid w:val="00271A7D"/>
    <w:rsid w:val="00271B3F"/>
    <w:rsid w:val="00272700"/>
    <w:rsid w:val="002747EC"/>
    <w:rsid w:val="00275060"/>
    <w:rsid w:val="0027519C"/>
    <w:rsid w:val="00276010"/>
    <w:rsid w:val="002810DC"/>
    <w:rsid w:val="00281430"/>
    <w:rsid w:val="00281558"/>
    <w:rsid w:val="00282E8E"/>
    <w:rsid w:val="00282ED4"/>
    <w:rsid w:val="0028317E"/>
    <w:rsid w:val="00283417"/>
    <w:rsid w:val="00283849"/>
    <w:rsid w:val="00283963"/>
    <w:rsid w:val="00283C71"/>
    <w:rsid w:val="002855CA"/>
    <w:rsid w:val="00285E02"/>
    <w:rsid w:val="00285FD1"/>
    <w:rsid w:val="00286E8F"/>
    <w:rsid w:val="0028710C"/>
    <w:rsid w:val="002872F8"/>
    <w:rsid w:val="00290771"/>
    <w:rsid w:val="00290F96"/>
    <w:rsid w:val="00291781"/>
    <w:rsid w:val="0029205B"/>
    <w:rsid w:val="00292A5F"/>
    <w:rsid w:val="00293008"/>
    <w:rsid w:val="00294349"/>
    <w:rsid w:val="00295963"/>
    <w:rsid w:val="00295BD1"/>
    <w:rsid w:val="00295EA3"/>
    <w:rsid w:val="002978B9"/>
    <w:rsid w:val="002979C3"/>
    <w:rsid w:val="002A2554"/>
    <w:rsid w:val="002A332D"/>
    <w:rsid w:val="002A428C"/>
    <w:rsid w:val="002A45F5"/>
    <w:rsid w:val="002A4837"/>
    <w:rsid w:val="002A6A41"/>
    <w:rsid w:val="002A7212"/>
    <w:rsid w:val="002B19F6"/>
    <w:rsid w:val="002B2309"/>
    <w:rsid w:val="002B2737"/>
    <w:rsid w:val="002B3F6B"/>
    <w:rsid w:val="002B4378"/>
    <w:rsid w:val="002B469F"/>
    <w:rsid w:val="002B4E11"/>
    <w:rsid w:val="002B6179"/>
    <w:rsid w:val="002B6B98"/>
    <w:rsid w:val="002B6D16"/>
    <w:rsid w:val="002B78AF"/>
    <w:rsid w:val="002B7C9D"/>
    <w:rsid w:val="002C164A"/>
    <w:rsid w:val="002C1BC4"/>
    <w:rsid w:val="002C2445"/>
    <w:rsid w:val="002C2EEB"/>
    <w:rsid w:val="002C59D4"/>
    <w:rsid w:val="002C5DBE"/>
    <w:rsid w:val="002C6587"/>
    <w:rsid w:val="002D0174"/>
    <w:rsid w:val="002D1645"/>
    <w:rsid w:val="002D1844"/>
    <w:rsid w:val="002D19A0"/>
    <w:rsid w:val="002D401B"/>
    <w:rsid w:val="002D4DDE"/>
    <w:rsid w:val="002D55B3"/>
    <w:rsid w:val="002D71AC"/>
    <w:rsid w:val="002D731D"/>
    <w:rsid w:val="002D7368"/>
    <w:rsid w:val="002D76E3"/>
    <w:rsid w:val="002D7F9F"/>
    <w:rsid w:val="002E0B4C"/>
    <w:rsid w:val="002E0B62"/>
    <w:rsid w:val="002E1C21"/>
    <w:rsid w:val="002E39A1"/>
    <w:rsid w:val="002E3AA7"/>
    <w:rsid w:val="002E5E34"/>
    <w:rsid w:val="002E67B2"/>
    <w:rsid w:val="002E7D73"/>
    <w:rsid w:val="002F0603"/>
    <w:rsid w:val="002F1D53"/>
    <w:rsid w:val="002F28D7"/>
    <w:rsid w:val="002F4196"/>
    <w:rsid w:val="002F5325"/>
    <w:rsid w:val="002F5417"/>
    <w:rsid w:val="002F691A"/>
    <w:rsid w:val="002F699F"/>
    <w:rsid w:val="002F7872"/>
    <w:rsid w:val="00301738"/>
    <w:rsid w:val="00303704"/>
    <w:rsid w:val="00304A70"/>
    <w:rsid w:val="00305F3C"/>
    <w:rsid w:val="003060D9"/>
    <w:rsid w:val="003063EF"/>
    <w:rsid w:val="003065DC"/>
    <w:rsid w:val="00307D3F"/>
    <w:rsid w:val="0031287B"/>
    <w:rsid w:val="00312F49"/>
    <w:rsid w:val="00313301"/>
    <w:rsid w:val="0031461B"/>
    <w:rsid w:val="00314724"/>
    <w:rsid w:val="003147FD"/>
    <w:rsid w:val="00315AD2"/>
    <w:rsid w:val="00315B3A"/>
    <w:rsid w:val="00316413"/>
    <w:rsid w:val="003169D7"/>
    <w:rsid w:val="0031722F"/>
    <w:rsid w:val="00317DBF"/>
    <w:rsid w:val="00320650"/>
    <w:rsid w:val="00323411"/>
    <w:rsid w:val="003235FE"/>
    <w:rsid w:val="003240FC"/>
    <w:rsid w:val="00324384"/>
    <w:rsid w:val="00325212"/>
    <w:rsid w:val="003259BD"/>
    <w:rsid w:val="00325A33"/>
    <w:rsid w:val="00325E73"/>
    <w:rsid w:val="0032709E"/>
    <w:rsid w:val="00327203"/>
    <w:rsid w:val="00327771"/>
    <w:rsid w:val="003279FD"/>
    <w:rsid w:val="00327E9C"/>
    <w:rsid w:val="003304E2"/>
    <w:rsid w:val="003306F2"/>
    <w:rsid w:val="0033222C"/>
    <w:rsid w:val="0033276B"/>
    <w:rsid w:val="00333617"/>
    <w:rsid w:val="00334EF8"/>
    <w:rsid w:val="00335096"/>
    <w:rsid w:val="0033522B"/>
    <w:rsid w:val="00335A6E"/>
    <w:rsid w:val="0033626E"/>
    <w:rsid w:val="003370AE"/>
    <w:rsid w:val="00337F76"/>
    <w:rsid w:val="003407EA"/>
    <w:rsid w:val="00340980"/>
    <w:rsid w:val="00342319"/>
    <w:rsid w:val="00342494"/>
    <w:rsid w:val="003431FD"/>
    <w:rsid w:val="00343B63"/>
    <w:rsid w:val="00344223"/>
    <w:rsid w:val="00344CFA"/>
    <w:rsid w:val="00344E8E"/>
    <w:rsid w:val="0034506A"/>
    <w:rsid w:val="00345A8E"/>
    <w:rsid w:val="00347B8B"/>
    <w:rsid w:val="003505F3"/>
    <w:rsid w:val="00350D90"/>
    <w:rsid w:val="0035338C"/>
    <w:rsid w:val="00354CD5"/>
    <w:rsid w:val="00356E9A"/>
    <w:rsid w:val="00357017"/>
    <w:rsid w:val="00357CAE"/>
    <w:rsid w:val="003619D4"/>
    <w:rsid w:val="00362491"/>
    <w:rsid w:val="00364723"/>
    <w:rsid w:val="00364A80"/>
    <w:rsid w:val="0036561F"/>
    <w:rsid w:val="003674AD"/>
    <w:rsid w:val="00371B7C"/>
    <w:rsid w:val="00373CD7"/>
    <w:rsid w:val="00375ECE"/>
    <w:rsid w:val="00376071"/>
    <w:rsid w:val="003766BD"/>
    <w:rsid w:val="00377942"/>
    <w:rsid w:val="00377CAD"/>
    <w:rsid w:val="00377E8B"/>
    <w:rsid w:val="00380038"/>
    <w:rsid w:val="003800D3"/>
    <w:rsid w:val="003801C8"/>
    <w:rsid w:val="00380BA9"/>
    <w:rsid w:val="00382606"/>
    <w:rsid w:val="003826D4"/>
    <w:rsid w:val="00382A07"/>
    <w:rsid w:val="00382DB9"/>
    <w:rsid w:val="00383CAB"/>
    <w:rsid w:val="00384274"/>
    <w:rsid w:val="003842BD"/>
    <w:rsid w:val="00384E3E"/>
    <w:rsid w:val="00385E05"/>
    <w:rsid w:val="003867F9"/>
    <w:rsid w:val="003875A8"/>
    <w:rsid w:val="003876AB"/>
    <w:rsid w:val="003879EB"/>
    <w:rsid w:val="00390B37"/>
    <w:rsid w:val="00390D12"/>
    <w:rsid w:val="0039210A"/>
    <w:rsid w:val="003955B3"/>
    <w:rsid w:val="003960D1"/>
    <w:rsid w:val="0039614C"/>
    <w:rsid w:val="0039645B"/>
    <w:rsid w:val="003979FF"/>
    <w:rsid w:val="00397CC0"/>
    <w:rsid w:val="003A00E3"/>
    <w:rsid w:val="003A0311"/>
    <w:rsid w:val="003A12A9"/>
    <w:rsid w:val="003A22CF"/>
    <w:rsid w:val="003A22DD"/>
    <w:rsid w:val="003A2F5F"/>
    <w:rsid w:val="003A3FEC"/>
    <w:rsid w:val="003A4935"/>
    <w:rsid w:val="003A50C2"/>
    <w:rsid w:val="003A5D7E"/>
    <w:rsid w:val="003A6E0E"/>
    <w:rsid w:val="003B00B5"/>
    <w:rsid w:val="003B0DC1"/>
    <w:rsid w:val="003B1BBA"/>
    <w:rsid w:val="003B3000"/>
    <w:rsid w:val="003B31AD"/>
    <w:rsid w:val="003B3AD8"/>
    <w:rsid w:val="003B3EFC"/>
    <w:rsid w:val="003B413E"/>
    <w:rsid w:val="003B485E"/>
    <w:rsid w:val="003B76EB"/>
    <w:rsid w:val="003C02FE"/>
    <w:rsid w:val="003C0F1C"/>
    <w:rsid w:val="003C16B2"/>
    <w:rsid w:val="003C1F5F"/>
    <w:rsid w:val="003C2334"/>
    <w:rsid w:val="003C7876"/>
    <w:rsid w:val="003C7F9F"/>
    <w:rsid w:val="003D2792"/>
    <w:rsid w:val="003D2D56"/>
    <w:rsid w:val="003D2D93"/>
    <w:rsid w:val="003D2DE1"/>
    <w:rsid w:val="003D3952"/>
    <w:rsid w:val="003D4D3E"/>
    <w:rsid w:val="003D5981"/>
    <w:rsid w:val="003D60FA"/>
    <w:rsid w:val="003D7748"/>
    <w:rsid w:val="003E0E9A"/>
    <w:rsid w:val="003E14D0"/>
    <w:rsid w:val="003E3F5A"/>
    <w:rsid w:val="003E4159"/>
    <w:rsid w:val="003E5E31"/>
    <w:rsid w:val="003E6F19"/>
    <w:rsid w:val="003E708E"/>
    <w:rsid w:val="003F0C1C"/>
    <w:rsid w:val="003F13F1"/>
    <w:rsid w:val="003F1F95"/>
    <w:rsid w:val="003F290D"/>
    <w:rsid w:val="003F3AFB"/>
    <w:rsid w:val="003F430D"/>
    <w:rsid w:val="003F5874"/>
    <w:rsid w:val="003F593C"/>
    <w:rsid w:val="003F5C4B"/>
    <w:rsid w:val="003F5CC1"/>
    <w:rsid w:val="003F656D"/>
    <w:rsid w:val="00400987"/>
    <w:rsid w:val="004055CB"/>
    <w:rsid w:val="004058D9"/>
    <w:rsid w:val="00405BE5"/>
    <w:rsid w:val="00406654"/>
    <w:rsid w:val="00406B9E"/>
    <w:rsid w:val="00410334"/>
    <w:rsid w:val="0041053C"/>
    <w:rsid w:val="00410582"/>
    <w:rsid w:val="00410994"/>
    <w:rsid w:val="0041146E"/>
    <w:rsid w:val="004140B5"/>
    <w:rsid w:val="00414264"/>
    <w:rsid w:val="00416404"/>
    <w:rsid w:val="00417980"/>
    <w:rsid w:val="00420A9A"/>
    <w:rsid w:val="0042121A"/>
    <w:rsid w:val="00421720"/>
    <w:rsid w:val="00422AB6"/>
    <w:rsid w:val="00425539"/>
    <w:rsid w:val="00425558"/>
    <w:rsid w:val="00425A3E"/>
    <w:rsid w:val="00425CB4"/>
    <w:rsid w:val="004260A3"/>
    <w:rsid w:val="00426C81"/>
    <w:rsid w:val="00427F9F"/>
    <w:rsid w:val="00432CC9"/>
    <w:rsid w:val="00432E76"/>
    <w:rsid w:val="00432EB5"/>
    <w:rsid w:val="00433F60"/>
    <w:rsid w:val="00435F0C"/>
    <w:rsid w:val="0043660C"/>
    <w:rsid w:val="004370B0"/>
    <w:rsid w:val="0043718E"/>
    <w:rsid w:val="0043769E"/>
    <w:rsid w:val="00437E6D"/>
    <w:rsid w:val="004415F7"/>
    <w:rsid w:val="004421BC"/>
    <w:rsid w:val="00444953"/>
    <w:rsid w:val="004462FA"/>
    <w:rsid w:val="0044713F"/>
    <w:rsid w:val="004531C2"/>
    <w:rsid w:val="0045358A"/>
    <w:rsid w:val="00454FFE"/>
    <w:rsid w:val="00455ECE"/>
    <w:rsid w:val="004562CF"/>
    <w:rsid w:val="004569BE"/>
    <w:rsid w:val="00456C38"/>
    <w:rsid w:val="004610ED"/>
    <w:rsid w:val="00461343"/>
    <w:rsid w:val="00461614"/>
    <w:rsid w:val="00462FDE"/>
    <w:rsid w:val="00463A37"/>
    <w:rsid w:val="00465169"/>
    <w:rsid w:val="00466597"/>
    <w:rsid w:val="004665BB"/>
    <w:rsid w:val="00466665"/>
    <w:rsid w:val="00466FA3"/>
    <w:rsid w:val="00467A41"/>
    <w:rsid w:val="00471231"/>
    <w:rsid w:val="00471962"/>
    <w:rsid w:val="004719C6"/>
    <w:rsid w:val="00471FE0"/>
    <w:rsid w:val="0047219E"/>
    <w:rsid w:val="0047255B"/>
    <w:rsid w:val="0047280B"/>
    <w:rsid w:val="0047363B"/>
    <w:rsid w:val="004736EF"/>
    <w:rsid w:val="0047390C"/>
    <w:rsid w:val="00473AFC"/>
    <w:rsid w:val="00474917"/>
    <w:rsid w:val="00474AEE"/>
    <w:rsid w:val="0047542D"/>
    <w:rsid w:val="004759E6"/>
    <w:rsid w:val="00475B87"/>
    <w:rsid w:val="004763CC"/>
    <w:rsid w:val="004765F0"/>
    <w:rsid w:val="0048155E"/>
    <w:rsid w:val="00481C44"/>
    <w:rsid w:val="004842D1"/>
    <w:rsid w:val="00484CA7"/>
    <w:rsid w:val="00485914"/>
    <w:rsid w:val="00485E62"/>
    <w:rsid w:val="00485F35"/>
    <w:rsid w:val="004871E4"/>
    <w:rsid w:val="004904FF"/>
    <w:rsid w:val="00491D80"/>
    <w:rsid w:val="00492704"/>
    <w:rsid w:val="00493188"/>
    <w:rsid w:val="00493AAD"/>
    <w:rsid w:val="00494DA4"/>
    <w:rsid w:val="0049753D"/>
    <w:rsid w:val="00497943"/>
    <w:rsid w:val="004A1EF0"/>
    <w:rsid w:val="004A203D"/>
    <w:rsid w:val="004A3732"/>
    <w:rsid w:val="004A38BC"/>
    <w:rsid w:val="004A4775"/>
    <w:rsid w:val="004A56F4"/>
    <w:rsid w:val="004A6A84"/>
    <w:rsid w:val="004A6D8E"/>
    <w:rsid w:val="004A7761"/>
    <w:rsid w:val="004A7D17"/>
    <w:rsid w:val="004B04BC"/>
    <w:rsid w:val="004B173F"/>
    <w:rsid w:val="004B2A9C"/>
    <w:rsid w:val="004B389C"/>
    <w:rsid w:val="004B5C26"/>
    <w:rsid w:val="004B6226"/>
    <w:rsid w:val="004B68CE"/>
    <w:rsid w:val="004B719D"/>
    <w:rsid w:val="004B7718"/>
    <w:rsid w:val="004C0C76"/>
    <w:rsid w:val="004C1683"/>
    <w:rsid w:val="004C1A0D"/>
    <w:rsid w:val="004C230C"/>
    <w:rsid w:val="004C3770"/>
    <w:rsid w:val="004C429A"/>
    <w:rsid w:val="004C4827"/>
    <w:rsid w:val="004C5E7E"/>
    <w:rsid w:val="004C65F6"/>
    <w:rsid w:val="004C72A6"/>
    <w:rsid w:val="004C7882"/>
    <w:rsid w:val="004C7F37"/>
    <w:rsid w:val="004D0517"/>
    <w:rsid w:val="004D075F"/>
    <w:rsid w:val="004D21CC"/>
    <w:rsid w:val="004D3780"/>
    <w:rsid w:val="004D42F0"/>
    <w:rsid w:val="004D47F8"/>
    <w:rsid w:val="004D54E0"/>
    <w:rsid w:val="004D59A8"/>
    <w:rsid w:val="004D5DAC"/>
    <w:rsid w:val="004D6CAD"/>
    <w:rsid w:val="004D7767"/>
    <w:rsid w:val="004E003E"/>
    <w:rsid w:val="004E035A"/>
    <w:rsid w:val="004E17EE"/>
    <w:rsid w:val="004E19BA"/>
    <w:rsid w:val="004E1D3D"/>
    <w:rsid w:val="004E2AC0"/>
    <w:rsid w:val="004E3065"/>
    <w:rsid w:val="004E3333"/>
    <w:rsid w:val="004E3C13"/>
    <w:rsid w:val="004E4041"/>
    <w:rsid w:val="004E4A12"/>
    <w:rsid w:val="004E5DC7"/>
    <w:rsid w:val="004E5FD1"/>
    <w:rsid w:val="004E6F63"/>
    <w:rsid w:val="004E76E4"/>
    <w:rsid w:val="004F0026"/>
    <w:rsid w:val="004F0FFA"/>
    <w:rsid w:val="004F2376"/>
    <w:rsid w:val="004F280B"/>
    <w:rsid w:val="004F2999"/>
    <w:rsid w:val="004F3740"/>
    <w:rsid w:val="004F3B2A"/>
    <w:rsid w:val="004F3D29"/>
    <w:rsid w:val="004F4512"/>
    <w:rsid w:val="004F6EAB"/>
    <w:rsid w:val="00500606"/>
    <w:rsid w:val="00501105"/>
    <w:rsid w:val="0050153A"/>
    <w:rsid w:val="005019BB"/>
    <w:rsid w:val="00502355"/>
    <w:rsid w:val="00502686"/>
    <w:rsid w:val="00504059"/>
    <w:rsid w:val="00504FE9"/>
    <w:rsid w:val="005054BE"/>
    <w:rsid w:val="00506B3E"/>
    <w:rsid w:val="005072C9"/>
    <w:rsid w:val="005077A3"/>
    <w:rsid w:val="00510A17"/>
    <w:rsid w:val="00510CAC"/>
    <w:rsid w:val="00512EBA"/>
    <w:rsid w:val="00513696"/>
    <w:rsid w:val="00514476"/>
    <w:rsid w:val="00515355"/>
    <w:rsid w:val="00515AC3"/>
    <w:rsid w:val="0051630B"/>
    <w:rsid w:val="00516BFF"/>
    <w:rsid w:val="005200E4"/>
    <w:rsid w:val="00520A39"/>
    <w:rsid w:val="0052159A"/>
    <w:rsid w:val="00522415"/>
    <w:rsid w:val="0052288C"/>
    <w:rsid w:val="00522AC4"/>
    <w:rsid w:val="00522F9D"/>
    <w:rsid w:val="00523E10"/>
    <w:rsid w:val="0052402F"/>
    <w:rsid w:val="00524B2B"/>
    <w:rsid w:val="0052506A"/>
    <w:rsid w:val="0052538C"/>
    <w:rsid w:val="005255C2"/>
    <w:rsid w:val="00525744"/>
    <w:rsid w:val="005270E6"/>
    <w:rsid w:val="005300C5"/>
    <w:rsid w:val="00530422"/>
    <w:rsid w:val="00530B42"/>
    <w:rsid w:val="005312ED"/>
    <w:rsid w:val="00531C45"/>
    <w:rsid w:val="00533BAB"/>
    <w:rsid w:val="005342DA"/>
    <w:rsid w:val="00534408"/>
    <w:rsid w:val="005345F0"/>
    <w:rsid w:val="005348DA"/>
    <w:rsid w:val="00534B37"/>
    <w:rsid w:val="00535193"/>
    <w:rsid w:val="0053538F"/>
    <w:rsid w:val="00535848"/>
    <w:rsid w:val="00535E89"/>
    <w:rsid w:val="00536E6C"/>
    <w:rsid w:val="005416C4"/>
    <w:rsid w:val="00542AB0"/>
    <w:rsid w:val="00543511"/>
    <w:rsid w:val="005437F5"/>
    <w:rsid w:val="00544AD1"/>
    <w:rsid w:val="00544F55"/>
    <w:rsid w:val="00545170"/>
    <w:rsid w:val="00546748"/>
    <w:rsid w:val="00546AF8"/>
    <w:rsid w:val="00550AFD"/>
    <w:rsid w:val="00551FBD"/>
    <w:rsid w:val="00552810"/>
    <w:rsid w:val="00552815"/>
    <w:rsid w:val="00553250"/>
    <w:rsid w:val="00556D43"/>
    <w:rsid w:val="00556DEA"/>
    <w:rsid w:val="00557671"/>
    <w:rsid w:val="005648F7"/>
    <w:rsid w:val="00564EE2"/>
    <w:rsid w:val="00565114"/>
    <w:rsid w:val="005668BD"/>
    <w:rsid w:val="00566FB7"/>
    <w:rsid w:val="00567907"/>
    <w:rsid w:val="00567DF6"/>
    <w:rsid w:val="005705E8"/>
    <w:rsid w:val="0057076B"/>
    <w:rsid w:val="00572236"/>
    <w:rsid w:val="0057256A"/>
    <w:rsid w:val="005730DB"/>
    <w:rsid w:val="0057351C"/>
    <w:rsid w:val="0057444B"/>
    <w:rsid w:val="0057575F"/>
    <w:rsid w:val="00581710"/>
    <w:rsid w:val="00583CF9"/>
    <w:rsid w:val="00584553"/>
    <w:rsid w:val="0058478F"/>
    <w:rsid w:val="005847BA"/>
    <w:rsid w:val="005853FF"/>
    <w:rsid w:val="00585616"/>
    <w:rsid w:val="00585DBA"/>
    <w:rsid w:val="00586CE9"/>
    <w:rsid w:val="00587BAA"/>
    <w:rsid w:val="0059115A"/>
    <w:rsid w:val="00591C93"/>
    <w:rsid w:val="00592B85"/>
    <w:rsid w:val="00592F17"/>
    <w:rsid w:val="00593F98"/>
    <w:rsid w:val="0059476C"/>
    <w:rsid w:val="005958E2"/>
    <w:rsid w:val="00595FD0"/>
    <w:rsid w:val="00596C63"/>
    <w:rsid w:val="005974AD"/>
    <w:rsid w:val="005A06A9"/>
    <w:rsid w:val="005A1196"/>
    <w:rsid w:val="005A1E5D"/>
    <w:rsid w:val="005A2B13"/>
    <w:rsid w:val="005A3941"/>
    <w:rsid w:val="005A3A58"/>
    <w:rsid w:val="005A468D"/>
    <w:rsid w:val="005A4A31"/>
    <w:rsid w:val="005A51FA"/>
    <w:rsid w:val="005A71A1"/>
    <w:rsid w:val="005A7BD9"/>
    <w:rsid w:val="005B1BEA"/>
    <w:rsid w:val="005B2BAB"/>
    <w:rsid w:val="005B2D62"/>
    <w:rsid w:val="005B2F68"/>
    <w:rsid w:val="005B3BD2"/>
    <w:rsid w:val="005B40FF"/>
    <w:rsid w:val="005B5619"/>
    <w:rsid w:val="005B5B1A"/>
    <w:rsid w:val="005B6140"/>
    <w:rsid w:val="005C0A8A"/>
    <w:rsid w:val="005C0F6A"/>
    <w:rsid w:val="005C1085"/>
    <w:rsid w:val="005C1251"/>
    <w:rsid w:val="005C1583"/>
    <w:rsid w:val="005C21B4"/>
    <w:rsid w:val="005C35DE"/>
    <w:rsid w:val="005C3946"/>
    <w:rsid w:val="005C4715"/>
    <w:rsid w:val="005C5138"/>
    <w:rsid w:val="005C5F69"/>
    <w:rsid w:val="005C63DB"/>
    <w:rsid w:val="005C642E"/>
    <w:rsid w:val="005C6AA5"/>
    <w:rsid w:val="005C6CE4"/>
    <w:rsid w:val="005C6D82"/>
    <w:rsid w:val="005D0676"/>
    <w:rsid w:val="005D0C9F"/>
    <w:rsid w:val="005D15BF"/>
    <w:rsid w:val="005D35DF"/>
    <w:rsid w:val="005D4BBA"/>
    <w:rsid w:val="005D4DE1"/>
    <w:rsid w:val="005D5321"/>
    <w:rsid w:val="005D6641"/>
    <w:rsid w:val="005D684D"/>
    <w:rsid w:val="005D6E36"/>
    <w:rsid w:val="005D6FF7"/>
    <w:rsid w:val="005D7F00"/>
    <w:rsid w:val="005D7F77"/>
    <w:rsid w:val="005E05AE"/>
    <w:rsid w:val="005E0836"/>
    <w:rsid w:val="005E113B"/>
    <w:rsid w:val="005E2BC4"/>
    <w:rsid w:val="005E3302"/>
    <w:rsid w:val="005E34B2"/>
    <w:rsid w:val="005E388B"/>
    <w:rsid w:val="005E3C77"/>
    <w:rsid w:val="005E426D"/>
    <w:rsid w:val="005E4E57"/>
    <w:rsid w:val="005E4E5B"/>
    <w:rsid w:val="005E561B"/>
    <w:rsid w:val="005E6D86"/>
    <w:rsid w:val="005E7C80"/>
    <w:rsid w:val="005F2F49"/>
    <w:rsid w:val="005F543A"/>
    <w:rsid w:val="005F5FD7"/>
    <w:rsid w:val="005F65A8"/>
    <w:rsid w:val="0060086F"/>
    <w:rsid w:val="0060225E"/>
    <w:rsid w:val="00604A8E"/>
    <w:rsid w:val="0060516B"/>
    <w:rsid w:val="00606307"/>
    <w:rsid w:val="0060642E"/>
    <w:rsid w:val="0060643A"/>
    <w:rsid w:val="00606D59"/>
    <w:rsid w:val="006101BD"/>
    <w:rsid w:val="00610C23"/>
    <w:rsid w:val="00610F08"/>
    <w:rsid w:val="00610F6E"/>
    <w:rsid w:val="00612587"/>
    <w:rsid w:val="00612971"/>
    <w:rsid w:val="00612AF7"/>
    <w:rsid w:val="00612FC7"/>
    <w:rsid w:val="006135F0"/>
    <w:rsid w:val="00613878"/>
    <w:rsid w:val="00614836"/>
    <w:rsid w:val="00621627"/>
    <w:rsid w:val="00621E4B"/>
    <w:rsid w:val="00622968"/>
    <w:rsid w:val="00623582"/>
    <w:rsid w:val="006245CE"/>
    <w:rsid w:val="00626104"/>
    <w:rsid w:val="00626790"/>
    <w:rsid w:val="006268AA"/>
    <w:rsid w:val="00627039"/>
    <w:rsid w:val="00627F7A"/>
    <w:rsid w:val="00630169"/>
    <w:rsid w:val="006302A0"/>
    <w:rsid w:val="0063030C"/>
    <w:rsid w:val="00631435"/>
    <w:rsid w:val="00632E09"/>
    <w:rsid w:val="00635650"/>
    <w:rsid w:val="006361E6"/>
    <w:rsid w:val="006363E1"/>
    <w:rsid w:val="00636979"/>
    <w:rsid w:val="00636B03"/>
    <w:rsid w:val="00636D4D"/>
    <w:rsid w:val="00636DD8"/>
    <w:rsid w:val="00637809"/>
    <w:rsid w:val="0064038A"/>
    <w:rsid w:val="00640B05"/>
    <w:rsid w:val="006410DF"/>
    <w:rsid w:val="00641955"/>
    <w:rsid w:val="00641AC1"/>
    <w:rsid w:val="00641D07"/>
    <w:rsid w:val="00642330"/>
    <w:rsid w:val="00643012"/>
    <w:rsid w:val="00643552"/>
    <w:rsid w:val="00643F57"/>
    <w:rsid w:val="00644A2A"/>
    <w:rsid w:val="00646310"/>
    <w:rsid w:val="0064766C"/>
    <w:rsid w:val="00647F03"/>
    <w:rsid w:val="0065043F"/>
    <w:rsid w:val="00650DF7"/>
    <w:rsid w:val="006514E5"/>
    <w:rsid w:val="00651BBE"/>
    <w:rsid w:val="00651BDB"/>
    <w:rsid w:val="00651BF5"/>
    <w:rsid w:val="00652B0E"/>
    <w:rsid w:val="00652B99"/>
    <w:rsid w:val="00655267"/>
    <w:rsid w:val="006560C8"/>
    <w:rsid w:val="00656133"/>
    <w:rsid w:val="00656219"/>
    <w:rsid w:val="006563F4"/>
    <w:rsid w:val="00657037"/>
    <w:rsid w:val="0065744A"/>
    <w:rsid w:val="006574D1"/>
    <w:rsid w:val="0066003E"/>
    <w:rsid w:val="00660340"/>
    <w:rsid w:val="006615C8"/>
    <w:rsid w:val="00661E8C"/>
    <w:rsid w:val="006625FD"/>
    <w:rsid w:val="006634A9"/>
    <w:rsid w:val="00664E25"/>
    <w:rsid w:val="0066719A"/>
    <w:rsid w:val="006705D3"/>
    <w:rsid w:val="0067089B"/>
    <w:rsid w:val="00670F6E"/>
    <w:rsid w:val="00671421"/>
    <w:rsid w:val="00672105"/>
    <w:rsid w:val="0067276E"/>
    <w:rsid w:val="006735B4"/>
    <w:rsid w:val="00673AA4"/>
    <w:rsid w:val="00673CC5"/>
    <w:rsid w:val="00673F15"/>
    <w:rsid w:val="00674202"/>
    <w:rsid w:val="00674924"/>
    <w:rsid w:val="00674E8F"/>
    <w:rsid w:val="00675659"/>
    <w:rsid w:val="00676711"/>
    <w:rsid w:val="00677496"/>
    <w:rsid w:val="006774EF"/>
    <w:rsid w:val="00680101"/>
    <w:rsid w:val="00680D58"/>
    <w:rsid w:val="006819EC"/>
    <w:rsid w:val="00681B88"/>
    <w:rsid w:val="00682476"/>
    <w:rsid w:val="00682E5D"/>
    <w:rsid w:val="006834B8"/>
    <w:rsid w:val="00683A1B"/>
    <w:rsid w:val="00684393"/>
    <w:rsid w:val="006844C7"/>
    <w:rsid w:val="00686195"/>
    <w:rsid w:val="0068714D"/>
    <w:rsid w:val="0069060E"/>
    <w:rsid w:val="00690E5E"/>
    <w:rsid w:val="006917BB"/>
    <w:rsid w:val="006927AE"/>
    <w:rsid w:val="00692CD1"/>
    <w:rsid w:val="00693636"/>
    <w:rsid w:val="00693668"/>
    <w:rsid w:val="00694DBA"/>
    <w:rsid w:val="006953CF"/>
    <w:rsid w:val="0069616A"/>
    <w:rsid w:val="00696599"/>
    <w:rsid w:val="0069725C"/>
    <w:rsid w:val="006A0980"/>
    <w:rsid w:val="006A172A"/>
    <w:rsid w:val="006A1C94"/>
    <w:rsid w:val="006A1E58"/>
    <w:rsid w:val="006A232E"/>
    <w:rsid w:val="006A2D16"/>
    <w:rsid w:val="006A2D6A"/>
    <w:rsid w:val="006A2DA6"/>
    <w:rsid w:val="006A2E20"/>
    <w:rsid w:val="006A4EF3"/>
    <w:rsid w:val="006A5754"/>
    <w:rsid w:val="006A5EB5"/>
    <w:rsid w:val="006A6D36"/>
    <w:rsid w:val="006A7A07"/>
    <w:rsid w:val="006B0CC9"/>
    <w:rsid w:val="006B122A"/>
    <w:rsid w:val="006B58B2"/>
    <w:rsid w:val="006B5E8E"/>
    <w:rsid w:val="006B5EEE"/>
    <w:rsid w:val="006B7542"/>
    <w:rsid w:val="006B7D02"/>
    <w:rsid w:val="006C0BBC"/>
    <w:rsid w:val="006C0F87"/>
    <w:rsid w:val="006C1226"/>
    <w:rsid w:val="006C19FF"/>
    <w:rsid w:val="006C2239"/>
    <w:rsid w:val="006C4546"/>
    <w:rsid w:val="006C4AC6"/>
    <w:rsid w:val="006C4F00"/>
    <w:rsid w:val="006C5F2B"/>
    <w:rsid w:val="006C61DF"/>
    <w:rsid w:val="006C67BD"/>
    <w:rsid w:val="006C6BA9"/>
    <w:rsid w:val="006C74A1"/>
    <w:rsid w:val="006C7618"/>
    <w:rsid w:val="006D016E"/>
    <w:rsid w:val="006D02DF"/>
    <w:rsid w:val="006D1291"/>
    <w:rsid w:val="006D13B6"/>
    <w:rsid w:val="006D2087"/>
    <w:rsid w:val="006D221F"/>
    <w:rsid w:val="006D3892"/>
    <w:rsid w:val="006D62E1"/>
    <w:rsid w:val="006D6B5A"/>
    <w:rsid w:val="006D6C6D"/>
    <w:rsid w:val="006D7A29"/>
    <w:rsid w:val="006E00E0"/>
    <w:rsid w:val="006E0654"/>
    <w:rsid w:val="006E0CF1"/>
    <w:rsid w:val="006E34A6"/>
    <w:rsid w:val="006E3FC8"/>
    <w:rsid w:val="006E552E"/>
    <w:rsid w:val="006E5C50"/>
    <w:rsid w:val="006F15D9"/>
    <w:rsid w:val="006F1636"/>
    <w:rsid w:val="006F42FD"/>
    <w:rsid w:val="006F4A1C"/>
    <w:rsid w:val="006F55BF"/>
    <w:rsid w:val="006F57B2"/>
    <w:rsid w:val="006F6086"/>
    <w:rsid w:val="006F6FF3"/>
    <w:rsid w:val="006F721C"/>
    <w:rsid w:val="006F7E73"/>
    <w:rsid w:val="00700A67"/>
    <w:rsid w:val="00702147"/>
    <w:rsid w:val="0070591D"/>
    <w:rsid w:val="00705BE3"/>
    <w:rsid w:val="00707DD6"/>
    <w:rsid w:val="007102F8"/>
    <w:rsid w:val="00710320"/>
    <w:rsid w:val="00710D90"/>
    <w:rsid w:val="00711F8B"/>
    <w:rsid w:val="0071221C"/>
    <w:rsid w:val="00712BA6"/>
    <w:rsid w:val="00714CF0"/>
    <w:rsid w:val="00714DF2"/>
    <w:rsid w:val="00715CCC"/>
    <w:rsid w:val="00715D94"/>
    <w:rsid w:val="00716AE7"/>
    <w:rsid w:val="00716F8F"/>
    <w:rsid w:val="00717B4A"/>
    <w:rsid w:val="007211E0"/>
    <w:rsid w:val="0072220F"/>
    <w:rsid w:val="00724C02"/>
    <w:rsid w:val="00725A14"/>
    <w:rsid w:val="00725F5F"/>
    <w:rsid w:val="0072601F"/>
    <w:rsid w:val="00726FF7"/>
    <w:rsid w:val="007271FA"/>
    <w:rsid w:val="00727DC6"/>
    <w:rsid w:val="007308D6"/>
    <w:rsid w:val="00730A6C"/>
    <w:rsid w:val="007310D1"/>
    <w:rsid w:val="00731AFD"/>
    <w:rsid w:val="00731FCF"/>
    <w:rsid w:val="00733582"/>
    <w:rsid w:val="00735362"/>
    <w:rsid w:val="0073663E"/>
    <w:rsid w:val="00737C2F"/>
    <w:rsid w:val="00737E6C"/>
    <w:rsid w:val="00742358"/>
    <w:rsid w:val="00744438"/>
    <w:rsid w:val="007451DA"/>
    <w:rsid w:val="007453F2"/>
    <w:rsid w:val="00746986"/>
    <w:rsid w:val="00750CB4"/>
    <w:rsid w:val="00751891"/>
    <w:rsid w:val="00751D9F"/>
    <w:rsid w:val="007525D1"/>
    <w:rsid w:val="00753E51"/>
    <w:rsid w:val="00754460"/>
    <w:rsid w:val="00755A0E"/>
    <w:rsid w:val="00755DBD"/>
    <w:rsid w:val="0075657A"/>
    <w:rsid w:val="00761E8B"/>
    <w:rsid w:val="0076347F"/>
    <w:rsid w:val="00763557"/>
    <w:rsid w:val="00763EE0"/>
    <w:rsid w:val="0076434E"/>
    <w:rsid w:val="00764F6D"/>
    <w:rsid w:val="00766251"/>
    <w:rsid w:val="007670F5"/>
    <w:rsid w:val="00767579"/>
    <w:rsid w:val="0077022B"/>
    <w:rsid w:val="007702E8"/>
    <w:rsid w:val="0077035A"/>
    <w:rsid w:val="00771EEE"/>
    <w:rsid w:val="00772579"/>
    <w:rsid w:val="00773156"/>
    <w:rsid w:val="00773194"/>
    <w:rsid w:val="0077355B"/>
    <w:rsid w:val="00773811"/>
    <w:rsid w:val="0077487B"/>
    <w:rsid w:val="007755D7"/>
    <w:rsid w:val="00776BB7"/>
    <w:rsid w:val="00780D51"/>
    <w:rsid w:val="007811C1"/>
    <w:rsid w:val="007816BF"/>
    <w:rsid w:val="00781A1C"/>
    <w:rsid w:val="00783303"/>
    <w:rsid w:val="00783983"/>
    <w:rsid w:val="0078471F"/>
    <w:rsid w:val="00784836"/>
    <w:rsid w:val="007848E1"/>
    <w:rsid w:val="007849CE"/>
    <w:rsid w:val="00785768"/>
    <w:rsid w:val="0078594C"/>
    <w:rsid w:val="00787CE4"/>
    <w:rsid w:val="00787E8B"/>
    <w:rsid w:val="00790F3D"/>
    <w:rsid w:val="007910EE"/>
    <w:rsid w:val="00791D8F"/>
    <w:rsid w:val="00792E14"/>
    <w:rsid w:val="00793CE7"/>
    <w:rsid w:val="00794827"/>
    <w:rsid w:val="007962BD"/>
    <w:rsid w:val="00797B9D"/>
    <w:rsid w:val="007A28EE"/>
    <w:rsid w:val="007A29ED"/>
    <w:rsid w:val="007A2C31"/>
    <w:rsid w:val="007A2DCC"/>
    <w:rsid w:val="007A3680"/>
    <w:rsid w:val="007A3BE8"/>
    <w:rsid w:val="007A4AC8"/>
    <w:rsid w:val="007A4BBE"/>
    <w:rsid w:val="007A4C86"/>
    <w:rsid w:val="007A4E1E"/>
    <w:rsid w:val="007A5CE4"/>
    <w:rsid w:val="007A652F"/>
    <w:rsid w:val="007B088E"/>
    <w:rsid w:val="007B095B"/>
    <w:rsid w:val="007B1A15"/>
    <w:rsid w:val="007B20B2"/>
    <w:rsid w:val="007B25A8"/>
    <w:rsid w:val="007B4105"/>
    <w:rsid w:val="007B41F4"/>
    <w:rsid w:val="007B7B4C"/>
    <w:rsid w:val="007C03DD"/>
    <w:rsid w:val="007C0EF2"/>
    <w:rsid w:val="007C1103"/>
    <w:rsid w:val="007C1916"/>
    <w:rsid w:val="007C2DFE"/>
    <w:rsid w:val="007C5880"/>
    <w:rsid w:val="007C5E05"/>
    <w:rsid w:val="007C6921"/>
    <w:rsid w:val="007C75AF"/>
    <w:rsid w:val="007D0335"/>
    <w:rsid w:val="007D0641"/>
    <w:rsid w:val="007D1A7E"/>
    <w:rsid w:val="007D2097"/>
    <w:rsid w:val="007D2453"/>
    <w:rsid w:val="007D3629"/>
    <w:rsid w:val="007D3845"/>
    <w:rsid w:val="007D4444"/>
    <w:rsid w:val="007D4E87"/>
    <w:rsid w:val="007D6E06"/>
    <w:rsid w:val="007D6E28"/>
    <w:rsid w:val="007D6F96"/>
    <w:rsid w:val="007D785B"/>
    <w:rsid w:val="007E150E"/>
    <w:rsid w:val="007E16A3"/>
    <w:rsid w:val="007E180B"/>
    <w:rsid w:val="007E198A"/>
    <w:rsid w:val="007E22D1"/>
    <w:rsid w:val="007E24B1"/>
    <w:rsid w:val="007E303F"/>
    <w:rsid w:val="007E6045"/>
    <w:rsid w:val="007E627D"/>
    <w:rsid w:val="007E633B"/>
    <w:rsid w:val="007F0922"/>
    <w:rsid w:val="007F09BF"/>
    <w:rsid w:val="007F1386"/>
    <w:rsid w:val="007F195D"/>
    <w:rsid w:val="007F31C2"/>
    <w:rsid w:val="007F402C"/>
    <w:rsid w:val="007F4387"/>
    <w:rsid w:val="007F45EF"/>
    <w:rsid w:val="007F4998"/>
    <w:rsid w:val="007F51C9"/>
    <w:rsid w:val="007F61CE"/>
    <w:rsid w:val="007F6F6A"/>
    <w:rsid w:val="00800AFA"/>
    <w:rsid w:val="008023C6"/>
    <w:rsid w:val="0080263D"/>
    <w:rsid w:val="00802894"/>
    <w:rsid w:val="00804DBE"/>
    <w:rsid w:val="00805DD7"/>
    <w:rsid w:val="00805DDD"/>
    <w:rsid w:val="00806550"/>
    <w:rsid w:val="00806829"/>
    <w:rsid w:val="00807417"/>
    <w:rsid w:val="00807851"/>
    <w:rsid w:val="00810D48"/>
    <w:rsid w:val="00811842"/>
    <w:rsid w:val="00811C76"/>
    <w:rsid w:val="008122C9"/>
    <w:rsid w:val="00812EC8"/>
    <w:rsid w:val="00813554"/>
    <w:rsid w:val="008136F4"/>
    <w:rsid w:val="0081375D"/>
    <w:rsid w:val="00813B3F"/>
    <w:rsid w:val="00813CF4"/>
    <w:rsid w:val="00814C13"/>
    <w:rsid w:val="0081520A"/>
    <w:rsid w:val="008159D7"/>
    <w:rsid w:val="00817214"/>
    <w:rsid w:val="008178BD"/>
    <w:rsid w:val="00820D20"/>
    <w:rsid w:val="008225AC"/>
    <w:rsid w:val="00823409"/>
    <w:rsid w:val="00823EED"/>
    <w:rsid w:val="00824E49"/>
    <w:rsid w:val="00825C67"/>
    <w:rsid w:val="00826037"/>
    <w:rsid w:val="00826AE2"/>
    <w:rsid w:val="008274EE"/>
    <w:rsid w:val="0082786A"/>
    <w:rsid w:val="008318D7"/>
    <w:rsid w:val="00832C62"/>
    <w:rsid w:val="00833C7C"/>
    <w:rsid w:val="00834AF7"/>
    <w:rsid w:val="00835F35"/>
    <w:rsid w:val="008364AD"/>
    <w:rsid w:val="00837946"/>
    <w:rsid w:val="00841190"/>
    <w:rsid w:val="008431D7"/>
    <w:rsid w:val="0084411A"/>
    <w:rsid w:val="0084420D"/>
    <w:rsid w:val="00844C38"/>
    <w:rsid w:val="00845FE2"/>
    <w:rsid w:val="00847B5D"/>
    <w:rsid w:val="00852B0D"/>
    <w:rsid w:val="0085356F"/>
    <w:rsid w:val="008546CB"/>
    <w:rsid w:val="008553A4"/>
    <w:rsid w:val="00855A31"/>
    <w:rsid w:val="00855F73"/>
    <w:rsid w:val="0085770D"/>
    <w:rsid w:val="0085792E"/>
    <w:rsid w:val="00860062"/>
    <w:rsid w:val="0086060C"/>
    <w:rsid w:val="00860967"/>
    <w:rsid w:val="00860A3C"/>
    <w:rsid w:val="00860C7B"/>
    <w:rsid w:val="0086102C"/>
    <w:rsid w:val="0086144A"/>
    <w:rsid w:val="00861BDC"/>
    <w:rsid w:val="00862033"/>
    <w:rsid w:val="008648FE"/>
    <w:rsid w:val="00865FF4"/>
    <w:rsid w:val="00866DD4"/>
    <w:rsid w:val="00870B1A"/>
    <w:rsid w:val="008726E2"/>
    <w:rsid w:val="008735D7"/>
    <w:rsid w:val="00874E5E"/>
    <w:rsid w:val="00874F95"/>
    <w:rsid w:val="00875041"/>
    <w:rsid w:val="0087755D"/>
    <w:rsid w:val="00877697"/>
    <w:rsid w:val="00877C8B"/>
    <w:rsid w:val="0088003D"/>
    <w:rsid w:val="00880A61"/>
    <w:rsid w:val="00881884"/>
    <w:rsid w:val="00881E55"/>
    <w:rsid w:val="00882C06"/>
    <w:rsid w:val="00882EC6"/>
    <w:rsid w:val="00883B94"/>
    <w:rsid w:val="0088401A"/>
    <w:rsid w:val="008856E6"/>
    <w:rsid w:val="00886C62"/>
    <w:rsid w:val="008870E1"/>
    <w:rsid w:val="008915BA"/>
    <w:rsid w:val="00892307"/>
    <w:rsid w:val="00894B41"/>
    <w:rsid w:val="008956DC"/>
    <w:rsid w:val="0089587D"/>
    <w:rsid w:val="00896284"/>
    <w:rsid w:val="00896E34"/>
    <w:rsid w:val="008974B5"/>
    <w:rsid w:val="008A0104"/>
    <w:rsid w:val="008A0E05"/>
    <w:rsid w:val="008A1ABD"/>
    <w:rsid w:val="008A1D9E"/>
    <w:rsid w:val="008A1EC0"/>
    <w:rsid w:val="008A24F1"/>
    <w:rsid w:val="008A372E"/>
    <w:rsid w:val="008A466F"/>
    <w:rsid w:val="008A65BC"/>
    <w:rsid w:val="008A74FF"/>
    <w:rsid w:val="008A77B0"/>
    <w:rsid w:val="008A7EC6"/>
    <w:rsid w:val="008B0490"/>
    <w:rsid w:val="008B0A5D"/>
    <w:rsid w:val="008B0CDA"/>
    <w:rsid w:val="008B118B"/>
    <w:rsid w:val="008B2501"/>
    <w:rsid w:val="008B3247"/>
    <w:rsid w:val="008B3624"/>
    <w:rsid w:val="008B390A"/>
    <w:rsid w:val="008B3D69"/>
    <w:rsid w:val="008B3E39"/>
    <w:rsid w:val="008B4B53"/>
    <w:rsid w:val="008B4E64"/>
    <w:rsid w:val="008B5647"/>
    <w:rsid w:val="008B5DEE"/>
    <w:rsid w:val="008B69FC"/>
    <w:rsid w:val="008B790E"/>
    <w:rsid w:val="008B7E35"/>
    <w:rsid w:val="008C1459"/>
    <w:rsid w:val="008C1668"/>
    <w:rsid w:val="008C1D12"/>
    <w:rsid w:val="008C2F07"/>
    <w:rsid w:val="008C3222"/>
    <w:rsid w:val="008C3952"/>
    <w:rsid w:val="008C414B"/>
    <w:rsid w:val="008C49CE"/>
    <w:rsid w:val="008C5440"/>
    <w:rsid w:val="008C6F19"/>
    <w:rsid w:val="008C7B90"/>
    <w:rsid w:val="008C7DF0"/>
    <w:rsid w:val="008D0B6D"/>
    <w:rsid w:val="008D1CA1"/>
    <w:rsid w:val="008D28FA"/>
    <w:rsid w:val="008D6187"/>
    <w:rsid w:val="008E0D09"/>
    <w:rsid w:val="008E1011"/>
    <w:rsid w:val="008E1225"/>
    <w:rsid w:val="008E267B"/>
    <w:rsid w:val="008E29E9"/>
    <w:rsid w:val="008E2F95"/>
    <w:rsid w:val="008E3111"/>
    <w:rsid w:val="008E4BD8"/>
    <w:rsid w:val="008E4CCE"/>
    <w:rsid w:val="008E5AE4"/>
    <w:rsid w:val="008E70E9"/>
    <w:rsid w:val="008F042C"/>
    <w:rsid w:val="008F11A2"/>
    <w:rsid w:val="008F2AB0"/>
    <w:rsid w:val="008F2EDA"/>
    <w:rsid w:val="008F2F61"/>
    <w:rsid w:val="008F315F"/>
    <w:rsid w:val="008F367A"/>
    <w:rsid w:val="008F5544"/>
    <w:rsid w:val="008F6200"/>
    <w:rsid w:val="008F6447"/>
    <w:rsid w:val="008F6884"/>
    <w:rsid w:val="009002FE"/>
    <w:rsid w:val="00901C86"/>
    <w:rsid w:val="00901E81"/>
    <w:rsid w:val="00903E82"/>
    <w:rsid w:val="0090456C"/>
    <w:rsid w:val="00904F5F"/>
    <w:rsid w:val="00907DF3"/>
    <w:rsid w:val="00910667"/>
    <w:rsid w:val="009108B6"/>
    <w:rsid w:val="00910E5C"/>
    <w:rsid w:val="00911014"/>
    <w:rsid w:val="00911122"/>
    <w:rsid w:val="00913B26"/>
    <w:rsid w:val="00913C34"/>
    <w:rsid w:val="00914C41"/>
    <w:rsid w:val="00915781"/>
    <w:rsid w:val="009160C5"/>
    <w:rsid w:val="009176C9"/>
    <w:rsid w:val="00917FCE"/>
    <w:rsid w:val="009203F0"/>
    <w:rsid w:val="00920776"/>
    <w:rsid w:val="00920BA0"/>
    <w:rsid w:val="00921805"/>
    <w:rsid w:val="00921C09"/>
    <w:rsid w:val="00924587"/>
    <w:rsid w:val="00924758"/>
    <w:rsid w:val="00924762"/>
    <w:rsid w:val="00924E49"/>
    <w:rsid w:val="009257DC"/>
    <w:rsid w:val="00926391"/>
    <w:rsid w:val="00926B29"/>
    <w:rsid w:val="009276B2"/>
    <w:rsid w:val="00927A8A"/>
    <w:rsid w:val="00927D0D"/>
    <w:rsid w:val="0093072D"/>
    <w:rsid w:val="00931F45"/>
    <w:rsid w:val="00932110"/>
    <w:rsid w:val="00932646"/>
    <w:rsid w:val="00932E4F"/>
    <w:rsid w:val="00932E5B"/>
    <w:rsid w:val="00933476"/>
    <w:rsid w:val="00934EE8"/>
    <w:rsid w:val="00940B13"/>
    <w:rsid w:val="00940B3B"/>
    <w:rsid w:val="00942B23"/>
    <w:rsid w:val="00942D00"/>
    <w:rsid w:val="00942E1F"/>
    <w:rsid w:val="00944941"/>
    <w:rsid w:val="00944B4D"/>
    <w:rsid w:val="00945806"/>
    <w:rsid w:val="009459A7"/>
    <w:rsid w:val="00946113"/>
    <w:rsid w:val="00947626"/>
    <w:rsid w:val="009478E8"/>
    <w:rsid w:val="009502A1"/>
    <w:rsid w:val="00950D2A"/>
    <w:rsid w:val="009510D6"/>
    <w:rsid w:val="0095398C"/>
    <w:rsid w:val="00953BD4"/>
    <w:rsid w:val="00954848"/>
    <w:rsid w:val="009563CC"/>
    <w:rsid w:val="00957A59"/>
    <w:rsid w:val="00957E03"/>
    <w:rsid w:val="009624B8"/>
    <w:rsid w:val="00962D6B"/>
    <w:rsid w:val="00963685"/>
    <w:rsid w:val="00964284"/>
    <w:rsid w:val="00964A62"/>
    <w:rsid w:val="009653CE"/>
    <w:rsid w:val="00965787"/>
    <w:rsid w:val="009679D3"/>
    <w:rsid w:val="00970715"/>
    <w:rsid w:val="009714A2"/>
    <w:rsid w:val="00972661"/>
    <w:rsid w:val="00972CFD"/>
    <w:rsid w:val="00972FD8"/>
    <w:rsid w:val="009732B0"/>
    <w:rsid w:val="009741B3"/>
    <w:rsid w:val="00974319"/>
    <w:rsid w:val="00974C0E"/>
    <w:rsid w:val="00977C9E"/>
    <w:rsid w:val="0098026E"/>
    <w:rsid w:val="00981301"/>
    <w:rsid w:val="00981447"/>
    <w:rsid w:val="00981BBF"/>
    <w:rsid w:val="009821B8"/>
    <w:rsid w:val="0098290D"/>
    <w:rsid w:val="009831B0"/>
    <w:rsid w:val="0098369F"/>
    <w:rsid w:val="00984BAC"/>
    <w:rsid w:val="00984D3F"/>
    <w:rsid w:val="00984F2E"/>
    <w:rsid w:val="009853D6"/>
    <w:rsid w:val="00986485"/>
    <w:rsid w:val="00987CE1"/>
    <w:rsid w:val="00990C8A"/>
    <w:rsid w:val="00990F5D"/>
    <w:rsid w:val="009919EE"/>
    <w:rsid w:val="00991DC5"/>
    <w:rsid w:val="009937EF"/>
    <w:rsid w:val="00993F3C"/>
    <w:rsid w:val="00995D56"/>
    <w:rsid w:val="00995E18"/>
    <w:rsid w:val="00996438"/>
    <w:rsid w:val="0099744F"/>
    <w:rsid w:val="009A2A86"/>
    <w:rsid w:val="009A34FD"/>
    <w:rsid w:val="009A4C98"/>
    <w:rsid w:val="009A518C"/>
    <w:rsid w:val="009A556D"/>
    <w:rsid w:val="009A5A08"/>
    <w:rsid w:val="009A6E48"/>
    <w:rsid w:val="009B014C"/>
    <w:rsid w:val="009B0CB8"/>
    <w:rsid w:val="009B0FDC"/>
    <w:rsid w:val="009B19BC"/>
    <w:rsid w:val="009B20FA"/>
    <w:rsid w:val="009B2218"/>
    <w:rsid w:val="009B2C4A"/>
    <w:rsid w:val="009B2F4C"/>
    <w:rsid w:val="009B35F0"/>
    <w:rsid w:val="009B3C0B"/>
    <w:rsid w:val="009B3DAF"/>
    <w:rsid w:val="009B42F5"/>
    <w:rsid w:val="009B4E88"/>
    <w:rsid w:val="009B6933"/>
    <w:rsid w:val="009B7585"/>
    <w:rsid w:val="009C2BE0"/>
    <w:rsid w:val="009C344E"/>
    <w:rsid w:val="009C3E48"/>
    <w:rsid w:val="009C703C"/>
    <w:rsid w:val="009C7786"/>
    <w:rsid w:val="009C78A9"/>
    <w:rsid w:val="009C7DDC"/>
    <w:rsid w:val="009D02CB"/>
    <w:rsid w:val="009D0849"/>
    <w:rsid w:val="009D1844"/>
    <w:rsid w:val="009D19CF"/>
    <w:rsid w:val="009D2FD6"/>
    <w:rsid w:val="009D35BA"/>
    <w:rsid w:val="009D6836"/>
    <w:rsid w:val="009D7C0E"/>
    <w:rsid w:val="009E0022"/>
    <w:rsid w:val="009E0DA6"/>
    <w:rsid w:val="009E0F27"/>
    <w:rsid w:val="009E1BF4"/>
    <w:rsid w:val="009E1EE4"/>
    <w:rsid w:val="009E5436"/>
    <w:rsid w:val="009E6359"/>
    <w:rsid w:val="009E6369"/>
    <w:rsid w:val="009E68DC"/>
    <w:rsid w:val="009E7900"/>
    <w:rsid w:val="009F0340"/>
    <w:rsid w:val="009F3665"/>
    <w:rsid w:val="009F39A4"/>
    <w:rsid w:val="009F3B1F"/>
    <w:rsid w:val="009F404A"/>
    <w:rsid w:val="009F51BF"/>
    <w:rsid w:val="009F61D1"/>
    <w:rsid w:val="009F647C"/>
    <w:rsid w:val="009F6D9D"/>
    <w:rsid w:val="009F7C80"/>
    <w:rsid w:val="00A00D39"/>
    <w:rsid w:val="00A01488"/>
    <w:rsid w:val="00A04798"/>
    <w:rsid w:val="00A05F1B"/>
    <w:rsid w:val="00A063EE"/>
    <w:rsid w:val="00A06F84"/>
    <w:rsid w:val="00A07DF2"/>
    <w:rsid w:val="00A07E13"/>
    <w:rsid w:val="00A106B4"/>
    <w:rsid w:val="00A111AC"/>
    <w:rsid w:val="00A1176E"/>
    <w:rsid w:val="00A12B85"/>
    <w:rsid w:val="00A12BAB"/>
    <w:rsid w:val="00A12C2F"/>
    <w:rsid w:val="00A12C7E"/>
    <w:rsid w:val="00A12DE7"/>
    <w:rsid w:val="00A131BC"/>
    <w:rsid w:val="00A13BBC"/>
    <w:rsid w:val="00A14387"/>
    <w:rsid w:val="00A15A50"/>
    <w:rsid w:val="00A15B1E"/>
    <w:rsid w:val="00A1694B"/>
    <w:rsid w:val="00A176BF"/>
    <w:rsid w:val="00A178A0"/>
    <w:rsid w:val="00A210CC"/>
    <w:rsid w:val="00A211AA"/>
    <w:rsid w:val="00A21253"/>
    <w:rsid w:val="00A226B9"/>
    <w:rsid w:val="00A227B9"/>
    <w:rsid w:val="00A22F30"/>
    <w:rsid w:val="00A24AF0"/>
    <w:rsid w:val="00A24B9C"/>
    <w:rsid w:val="00A24CD8"/>
    <w:rsid w:val="00A26990"/>
    <w:rsid w:val="00A26EA9"/>
    <w:rsid w:val="00A27D1D"/>
    <w:rsid w:val="00A305F9"/>
    <w:rsid w:val="00A30C06"/>
    <w:rsid w:val="00A31AC8"/>
    <w:rsid w:val="00A340AA"/>
    <w:rsid w:val="00A35D96"/>
    <w:rsid w:val="00A36258"/>
    <w:rsid w:val="00A376B0"/>
    <w:rsid w:val="00A378C2"/>
    <w:rsid w:val="00A40FE0"/>
    <w:rsid w:val="00A45A67"/>
    <w:rsid w:val="00A47854"/>
    <w:rsid w:val="00A47B23"/>
    <w:rsid w:val="00A51779"/>
    <w:rsid w:val="00A51787"/>
    <w:rsid w:val="00A5208E"/>
    <w:rsid w:val="00A5229A"/>
    <w:rsid w:val="00A524F0"/>
    <w:rsid w:val="00A52FB8"/>
    <w:rsid w:val="00A5328F"/>
    <w:rsid w:val="00A53AC8"/>
    <w:rsid w:val="00A5438D"/>
    <w:rsid w:val="00A55A54"/>
    <w:rsid w:val="00A55E96"/>
    <w:rsid w:val="00A56331"/>
    <w:rsid w:val="00A56445"/>
    <w:rsid w:val="00A625AC"/>
    <w:rsid w:val="00A634EE"/>
    <w:rsid w:val="00A636D3"/>
    <w:rsid w:val="00A637AD"/>
    <w:rsid w:val="00A63961"/>
    <w:rsid w:val="00A642C1"/>
    <w:rsid w:val="00A64887"/>
    <w:rsid w:val="00A64A5B"/>
    <w:rsid w:val="00A655EB"/>
    <w:rsid w:val="00A66B3E"/>
    <w:rsid w:val="00A66E3E"/>
    <w:rsid w:val="00A679F6"/>
    <w:rsid w:val="00A67F62"/>
    <w:rsid w:val="00A67F9D"/>
    <w:rsid w:val="00A7067F"/>
    <w:rsid w:val="00A7167F"/>
    <w:rsid w:val="00A72EF7"/>
    <w:rsid w:val="00A72F31"/>
    <w:rsid w:val="00A72FEB"/>
    <w:rsid w:val="00A73277"/>
    <w:rsid w:val="00A7370A"/>
    <w:rsid w:val="00A73B7B"/>
    <w:rsid w:val="00A741F4"/>
    <w:rsid w:val="00A77130"/>
    <w:rsid w:val="00A77B87"/>
    <w:rsid w:val="00A80952"/>
    <w:rsid w:val="00A8097C"/>
    <w:rsid w:val="00A824C7"/>
    <w:rsid w:val="00A83538"/>
    <w:rsid w:val="00A83819"/>
    <w:rsid w:val="00A83D89"/>
    <w:rsid w:val="00A83F39"/>
    <w:rsid w:val="00A861CA"/>
    <w:rsid w:val="00A867B9"/>
    <w:rsid w:val="00A90E52"/>
    <w:rsid w:val="00A911D8"/>
    <w:rsid w:val="00A9157C"/>
    <w:rsid w:val="00A92041"/>
    <w:rsid w:val="00A9265A"/>
    <w:rsid w:val="00A9294C"/>
    <w:rsid w:val="00A937B2"/>
    <w:rsid w:val="00A9477A"/>
    <w:rsid w:val="00A95115"/>
    <w:rsid w:val="00A96186"/>
    <w:rsid w:val="00A970AB"/>
    <w:rsid w:val="00A976A2"/>
    <w:rsid w:val="00AA0263"/>
    <w:rsid w:val="00AA0526"/>
    <w:rsid w:val="00AA0552"/>
    <w:rsid w:val="00AA2EB2"/>
    <w:rsid w:val="00AA2EB7"/>
    <w:rsid w:val="00AA37DD"/>
    <w:rsid w:val="00AA394B"/>
    <w:rsid w:val="00AA3C12"/>
    <w:rsid w:val="00AA3F58"/>
    <w:rsid w:val="00AA4BED"/>
    <w:rsid w:val="00AA5B2A"/>
    <w:rsid w:val="00AA5FEA"/>
    <w:rsid w:val="00AA7759"/>
    <w:rsid w:val="00AB1872"/>
    <w:rsid w:val="00AB18E9"/>
    <w:rsid w:val="00AB26BE"/>
    <w:rsid w:val="00AB3184"/>
    <w:rsid w:val="00AB358A"/>
    <w:rsid w:val="00AB37F2"/>
    <w:rsid w:val="00AB3FAD"/>
    <w:rsid w:val="00AB4DD6"/>
    <w:rsid w:val="00AB60A7"/>
    <w:rsid w:val="00AB69B6"/>
    <w:rsid w:val="00AB6B6D"/>
    <w:rsid w:val="00AB6C80"/>
    <w:rsid w:val="00AC0735"/>
    <w:rsid w:val="00AC2718"/>
    <w:rsid w:val="00AC2EEC"/>
    <w:rsid w:val="00AC3033"/>
    <w:rsid w:val="00AC339D"/>
    <w:rsid w:val="00AC4305"/>
    <w:rsid w:val="00AC441A"/>
    <w:rsid w:val="00AC47DC"/>
    <w:rsid w:val="00AC49C9"/>
    <w:rsid w:val="00AC641B"/>
    <w:rsid w:val="00AC7106"/>
    <w:rsid w:val="00AC7667"/>
    <w:rsid w:val="00AD0DA0"/>
    <w:rsid w:val="00AD11B2"/>
    <w:rsid w:val="00AD257E"/>
    <w:rsid w:val="00AD2ABF"/>
    <w:rsid w:val="00AD4541"/>
    <w:rsid w:val="00AD4F23"/>
    <w:rsid w:val="00AD5B45"/>
    <w:rsid w:val="00AD70E4"/>
    <w:rsid w:val="00AD75A2"/>
    <w:rsid w:val="00AE1474"/>
    <w:rsid w:val="00AE1598"/>
    <w:rsid w:val="00AE1C9E"/>
    <w:rsid w:val="00AE2B3D"/>
    <w:rsid w:val="00AE2B64"/>
    <w:rsid w:val="00AE3331"/>
    <w:rsid w:val="00AE3D3B"/>
    <w:rsid w:val="00AE4B5E"/>
    <w:rsid w:val="00AE4CC6"/>
    <w:rsid w:val="00AE4E17"/>
    <w:rsid w:val="00AE5744"/>
    <w:rsid w:val="00AE7213"/>
    <w:rsid w:val="00AE7B6F"/>
    <w:rsid w:val="00AF3FB6"/>
    <w:rsid w:val="00AF42BC"/>
    <w:rsid w:val="00AF447A"/>
    <w:rsid w:val="00AF462C"/>
    <w:rsid w:val="00AF4B62"/>
    <w:rsid w:val="00AF5230"/>
    <w:rsid w:val="00AF621C"/>
    <w:rsid w:val="00AF65CE"/>
    <w:rsid w:val="00AF7004"/>
    <w:rsid w:val="00AF7A64"/>
    <w:rsid w:val="00B00883"/>
    <w:rsid w:val="00B02BEA"/>
    <w:rsid w:val="00B0421F"/>
    <w:rsid w:val="00B05506"/>
    <w:rsid w:val="00B05825"/>
    <w:rsid w:val="00B059AC"/>
    <w:rsid w:val="00B07C61"/>
    <w:rsid w:val="00B10095"/>
    <w:rsid w:val="00B10211"/>
    <w:rsid w:val="00B10220"/>
    <w:rsid w:val="00B10640"/>
    <w:rsid w:val="00B13EB7"/>
    <w:rsid w:val="00B15C24"/>
    <w:rsid w:val="00B15C5A"/>
    <w:rsid w:val="00B1697C"/>
    <w:rsid w:val="00B17703"/>
    <w:rsid w:val="00B20415"/>
    <w:rsid w:val="00B20DE8"/>
    <w:rsid w:val="00B212CD"/>
    <w:rsid w:val="00B21837"/>
    <w:rsid w:val="00B21C5E"/>
    <w:rsid w:val="00B24839"/>
    <w:rsid w:val="00B24E71"/>
    <w:rsid w:val="00B253FE"/>
    <w:rsid w:val="00B254A7"/>
    <w:rsid w:val="00B25C2E"/>
    <w:rsid w:val="00B31328"/>
    <w:rsid w:val="00B319EB"/>
    <w:rsid w:val="00B3211F"/>
    <w:rsid w:val="00B33B33"/>
    <w:rsid w:val="00B3791F"/>
    <w:rsid w:val="00B37D25"/>
    <w:rsid w:val="00B424F4"/>
    <w:rsid w:val="00B42AD1"/>
    <w:rsid w:val="00B42E8C"/>
    <w:rsid w:val="00B4549D"/>
    <w:rsid w:val="00B466E6"/>
    <w:rsid w:val="00B4705A"/>
    <w:rsid w:val="00B476EF"/>
    <w:rsid w:val="00B47B51"/>
    <w:rsid w:val="00B501CA"/>
    <w:rsid w:val="00B50AF0"/>
    <w:rsid w:val="00B52AF9"/>
    <w:rsid w:val="00B52BCE"/>
    <w:rsid w:val="00B5487A"/>
    <w:rsid w:val="00B54B6C"/>
    <w:rsid w:val="00B54BD0"/>
    <w:rsid w:val="00B555BE"/>
    <w:rsid w:val="00B55CF0"/>
    <w:rsid w:val="00B56288"/>
    <w:rsid w:val="00B562CF"/>
    <w:rsid w:val="00B56A9A"/>
    <w:rsid w:val="00B5789E"/>
    <w:rsid w:val="00B60428"/>
    <w:rsid w:val="00B60EBD"/>
    <w:rsid w:val="00B6215D"/>
    <w:rsid w:val="00B63C71"/>
    <w:rsid w:val="00B63CDB"/>
    <w:rsid w:val="00B64A66"/>
    <w:rsid w:val="00B659F3"/>
    <w:rsid w:val="00B65BB6"/>
    <w:rsid w:val="00B66BD8"/>
    <w:rsid w:val="00B673C5"/>
    <w:rsid w:val="00B6776A"/>
    <w:rsid w:val="00B71A49"/>
    <w:rsid w:val="00B73E2C"/>
    <w:rsid w:val="00B743A0"/>
    <w:rsid w:val="00B75125"/>
    <w:rsid w:val="00B755CF"/>
    <w:rsid w:val="00B7690B"/>
    <w:rsid w:val="00B81508"/>
    <w:rsid w:val="00B8168E"/>
    <w:rsid w:val="00B81894"/>
    <w:rsid w:val="00B850F3"/>
    <w:rsid w:val="00B855C3"/>
    <w:rsid w:val="00B86186"/>
    <w:rsid w:val="00B8656D"/>
    <w:rsid w:val="00B92532"/>
    <w:rsid w:val="00B92564"/>
    <w:rsid w:val="00B92E3D"/>
    <w:rsid w:val="00B92FD7"/>
    <w:rsid w:val="00B93FE1"/>
    <w:rsid w:val="00B9647E"/>
    <w:rsid w:val="00B96A32"/>
    <w:rsid w:val="00B9763A"/>
    <w:rsid w:val="00B97AB0"/>
    <w:rsid w:val="00B97DD9"/>
    <w:rsid w:val="00BA2043"/>
    <w:rsid w:val="00BA2545"/>
    <w:rsid w:val="00BA2FA2"/>
    <w:rsid w:val="00BA397F"/>
    <w:rsid w:val="00BA483C"/>
    <w:rsid w:val="00BA4C08"/>
    <w:rsid w:val="00BA5F52"/>
    <w:rsid w:val="00BA6514"/>
    <w:rsid w:val="00BA68BC"/>
    <w:rsid w:val="00BA6BAC"/>
    <w:rsid w:val="00BA791B"/>
    <w:rsid w:val="00BB2130"/>
    <w:rsid w:val="00BB25EA"/>
    <w:rsid w:val="00BB2FE0"/>
    <w:rsid w:val="00BB3A30"/>
    <w:rsid w:val="00BB3B53"/>
    <w:rsid w:val="00BB3FA7"/>
    <w:rsid w:val="00BB7869"/>
    <w:rsid w:val="00BC4A11"/>
    <w:rsid w:val="00BC5915"/>
    <w:rsid w:val="00BD01F5"/>
    <w:rsid w:val="00BD047D"/>
    <w:rsid w:val="00BD07DA"/>
    <w:rsid w:val="00BD1289"/>
    <w:rsid w:val="00BD32E5"/>
    <w:rsid w:val="00BD3BE5"/>
    <w:rsid w:val="00BD3D1B"/>
    <w:rsid w:val="00BD4438"/>
    <w:rsid w:val="00BD55E8"/>
    <w:rsid w:val="00BD5BFF"/>
    <w:rsid w:val="00BD5CC8"/>
    <w:rsid w:val="00BD6747"/>
    <w:rsid w:val="00BD6FE7"/>
    <w:rsid w:val="00BE0474"/>
    <w:rsid w:val="00BE1B53"/>
    <w:rsid w:val="00BE27FC"/>
    <w:rsid w:val="00BE289C"/>
    <w:rsid w:val="00BE3733"/>
    <w:rsid w:val="00BE3DD8"/>
    <w:rsid w:val="00BE41F3"/>
    <w:rsid w:val="00BE4391"/>
    <w:rsid w:val="00BE473E"/>
    <w:rsid w:val="00BE6CD7"/>
    <w:rsid w:val="00BE7935"/>
    <w:rsid w:val="00BF0143"/>
    <w:rsid w:val="00BF1681"/>
    <w:rsid w:val="00BF2F15"/>
    <w:rsid w:val="00BF2FD7"/>
    <w:rsid w:val="00BF3568"/>
    <w:rsid w:val="00BF431A"/>
    <w:rsid w:val="00BF493C"/>
    <w:rsid w:val="00BF49CC"/>
    <w:rsid w:val="00BF5103"/>
    <w:rsid w:val="00BF5B1A"/>
    <w:rsid w:val="00BF5C6B"/>
    <w:rsid w:val="00BF6F71"/>
    <w:rsid w:val="00BF78A1"/>
    <w:rsid w:val="00C00173"/>
    <w:rsid w:val="00C0129F"/>
    <w:rsid w:val="00C02FA5"/>
    <w:rsid w:val="00C03C37"/>
    <w:rsid w:val="00C05BE7"/>
    <w:rsid w:val="00C06C39"/>
    <w:rsid w:val="00C07921"/>
    <w:rsid w:val="00C07CFF"/>
    <w:rsid w:val="00C13567"/>
    <w:rsid w:val="00C135E3"/>
    <w:rsid w:val="00C14A45"/>
    <w:rsid w:val="00C1518B"/>
    <w:rsid w:val="00C159C8"/>
    <w:rsid w:val="00C15BAA"/>
    <w:rsid w:val="00C15C86"/>
    <w:rsid w:val="00C162D5"/>
    <w:rsid w:val="00C16937"/>
    <w:rsid w:val="00C17B54"/>
    <w:rsid w:val="00C17D5B"/>
    <w:rsid w:val="00C219F3"/>
    <w:rsid w:val="00C2269F"/>
    <w:rsid w:val="00C22BF9"/>
    <w:rsid w:val="00C242D6"/>
    <w:rsid w:val="00C249F0"/>
    <w:rsid w:val="00C26E27"/>
    <w:rsid w:val="00C279C8"/>
    <w:rsid w:val="00C30CE3"/>
    <w:rsid w:val="00C31695"/>
    <w:rsid w:val="00C33102"/>
    <w:rsid w:val="00C3337F"/>
    <w:rsid w:val="00C336F2"/>
    <w:rsid w:val="00C33AD4"/>
    <w:rsid w:val="00C34132"/>
    <w:rsid w:val="00C35256"/>
    <w:rsid w:val="00C36D38"/>
    <w:rsid w:val="00C37D74"/>
    <w:rsid w:val="00C37DEA"/>
    <w:rsid w:val="00C403B2"/>
    <w:rsid w:val="00C4198F"/>
    <w:rsid w:val="00C42A2C"/>
    <w:rsid w:val="00C434A6"/>
    <w:rsid w:val="00C442B1"/>
    <w:rsid w:val="00C4449E"/>
    <w:rsid w:val="00C44D99"/>
    <w:rsid w:val="00C45F97"/>
    <w:rsid w:val="00C46309"/>
    <w:rsid w:val="00C46D89"/>
    <w:rsid w:val="00C46EA8"/>
    <w:rsid w:val="00C47B55"/>
    <w:rsid w:val="00C50011"/>
    <w:rsid w:val="00C504F2"/>
    <w:rsid w:val="00C50DDC"/>
    <w:rsid w:val="00C52AF6"/>
    <w:rsid w:val="00C532D5"/>
    <w:rsid w:val="00C535E5"/>
    <w:rsid w:val="00C5392E"/>
    <w:rsid w:val="00C53CFF"/>
    <w:rsid w:val="00C5470B"/>
    <w:rsid w:val="00C54799"/>
    <w:rsid w:val="00C5519E"/>
    <w:rsid w:val="00C55C76"/>
    <w:rsid w:val="00C565A6"/>
    <w:rsid w:val="00C56CCA"/>
    <w:rsid w:val="00C570DB"/>
    <w:rsid w:val="00C57EAE"/>
    <w:rsid w:val="00C6187A"/>
    <w:rsid w:val="00C622C4"/>
    <w:rsid w:val="00C62D65"/>
    <w:rsid w:val="00C63C58"/>
    <w:rsid w:val="00C65CC2"/>
    <w:rsid w:val="00C65E08"/>
    <w:rsid w:val="00C66AB8"/>
    <w:rsid w:val="00C677EF"/>
    <w:rsid w:val="00C705B5"/>
    <w:rsid w:val="00C70A6F"/>
    <w:rsid w:val="00C713C5"/>
    <w:rsid w:val="00C718B8"/>
    <w:rsid w:val="00C71C51"/>
    <w:rsid w:val="00C73D93"/>
    <w:rsid w:val="00C748D1"/>
    <w:rsid w:val="00C7573F"/>
    <w:rsid w:val="00C77A34"/>
    <w:rsid w:val="00C77C6D"/>
    <w:rsid w:val="00C77C88"/>
    <w:rsid w:val="00C77CFD"/>
    <w:rsid w:val="00C8000B"/>
    <w:rsid w:val="00C81F15"/>
    <w:rsid w:val="00C82072"/>
    <w:rsid w:val="00C82229"/>
    <w:rsid w:val="00C8239A"/>
    <w:rsid w:val="00C83469"/>
    <w:rsid w:val="00C8359D"/>
    <w:rsid w:val="00C83AAB"/>
    <w:rsid w:val="00C83CF6"/>
    <w:rsid w:val="00C844CC"/>
    <w:rsid w:val="00C857C4"/>
    <w:rsid w:val="00C85A3E"/>
    <w:rsid w:val="00C862D8"/>
    <w:rsid w:val="00C86EC5"/>
    <w:rsid w:val="00C874AE"/>
    <w:rsid w:val="00C90D63"/>
    <w:rsid w:val="00C914FE"/>
    <w:rsid w:val="00C91B50"/>
    <w:rsid w:val="00C93295"/>
    <w:rsid w:val="00C932B2"/>
    <w:rsid w:val="00C956FD"/>
    <w:rsid w:val="00CA0C91"/>
    <w:rsid w:val="00CA154E"/>
    <w:rsid w:val="00CA2970"/>
    <w:rsid w:val="00CA2B67"/>
    <w:rsid w:val="00CA2F02"/>
    <w:rsid w:val="00CA32BF"/>
    <w:rsid w:val="00CA35FA"/>
    <w:rsid w:val="00CB0C35"/>
    <w:rsid w:val="00CB0FDD"/>
    <w:rsid w:val="00CB5317"/>
    <w:rsid w:val="00CB6B42"/>
    <w:rsid w:val="00CB6CA6"/>
    <w:rsid w:val="00CC17C6"/>
    <w:rsid w:val="00CC1A69"/>
    <w:rsid w:val="00CC1B11"/>
    <w:rsid w:val="00CC209E"/>
    <w:rsid w:val="00CC2CE7"/>
    <w:rsid w:val="00CC31BA"/>
    <w:rsid w:val="00CC3BF4"/>
    <w:rsid w:val="00CC453F"/>
    <w:rsid w:val="00CC5B23"/>
    <w:rsid w:val="00CD0FAB"/>
    <w:rsid w:val="00CD1B19"/>
    <w:rsid w:val="00CD209E"/>
    <w:rsid w:val="00CD60F5"/>
    <w:rsid w:val="00CD6FFD"/>
    <w:rsid w:val="00CD710F"/>
    <w:rsid w:val="00CD7708"/>
    <w:rsid w:val="00CD771B"/>
    <w:rsid w:val="00CD7C3A"/>
    <w:rsid w:val="00CE0EF8"/>
    <w:rsid w:val="00CE148B"/>
    <w:rsid w:val="00CE1D30"/>
    <w:rsid w:val="00CE22E9"/>
    <w:rsid w:val="00CE4244"/>
    <w:rsid w:val="00CE7AB9"/>
    <w:rsid w:val="00CF042B"/>
    <w:rsid w:val="00CF09BB"/>
    <w:rsid w:val="00CF0BAF"/>
    <w:rsid w:val="00CF20A2"/>
    <w:rsid w:val="00CF24BC"/>
    <w:rsid w:val="00CF42C4"/>
    <w:rsid w:val="00CF52CF"/>
    <w:rsid w:val="00CF63CB"/>
    <w:rsid w:val="00CF6E0B"/>
    <w:rsid w:val="00CF6F7A"/>
    <w:rsid w:val="00CF7C1F"/>
    <w:rsid w:val="00D001AB"/>
    <w:rsid w:val="00D00A95"/>
    <w:rsid w:val="00D01828"/>
    <w:rsid w:val="00D01A66"/>
    <w:rsid w:val="00D02001"/>
    <w:rsid w:val="00D02053"/>
    <w:rsid w:val="00D03CC7"/>
    <w:rsid w:val="00D057F0"/>
    <w:rsid w:val="00D05B3E"/>
    <w:rsid w:val="00D0729E"/>
    <w:rsid w:val="00D103EA"/>
    <w:rsid w:val="00D11B81"/>
    <w:rsid w:val="00D11CCE"/>
    <w:rsid w:val="00D12F7E"/>
    <w:rsid w:val="00D13331"/>
    <w:rsid w:val="00D14007"/>
    <w:rsid w:val="00D143BC"/>
    <w:rsid w:val="00D149B1"/>
    <w:rsid w:val="00D14A9E"/>
    <w:rsid w:val="00D155DA"/>
    <w:rsid w:val="00D1625C"/>
    <w:rsid w:val="00D207FE"/>
    <w:rsid w:val="00D239FA"/>
    <w:rsid w:val="00D23D40"/>
    <w:rsid w:val="00D246BD"/>
    <w:rsid w:val="00D25929"/>
    <w:rsid w:val="00D2610A"/>
    <w:rsid w:val="00D277E2"/>
    <w:rsid w:val="00D3176E"/>
    <w:rsid w:val="00D31C4F"/>
    <w:rsid w:val="00D320DA"/>
    <w:rsid w:val="00D323BD"/>
    <w:rsid w:val="00D323E2"/>
    <w:rsid w:val="00D3281C"/>
    <w:rsid w:val="00D32983"/>
    <w:rsid w:val="00D337C8"/>
    <w:rsid w:val="00D33C12"/>
    <w:rsid w:val="00D341CF"/>
    <w:rsid w:val="00D36079"/>
    <w:rsid w:val="00D369DD"/>
    <w:rsid w:val="00D37660"/>
    <w:rsid w:val="00D406D7"/>
    <w:rsid w:val="00D406EB"/>
    <w:rsid w:val="00D4085A"/>
    <w:rsid w:val="00D410F4"/>
    <w:rsid w:val="00D4115D"/>
    <w:rsid w:val="00D416C0"/>
    <w:rsid w:val="00D41A96"/>
    <w:rsid w:val="00D430FD"/>
    <w:rsid w:val="00D44145"/>
    <w:rsid w:val="00D4593F"/>
    <w:rsid w:val="00D45A48"/>
    <w:rsid w:val="00D46019"/>
    <w:rsid w:val="00D46F7D"/>
    <w:rsid w:val="00D53A4A"/>
    <w:rsid w:val="00D53C5C"/>
    <w:rsid w:val="00D54107"/>
    <w:rsid w:val="00D575EF"/>
    <w:rsid w:val="00D57652"/>
    <w:rsid w:val="00D5795A"/>
    <w:rsid w:val="00D57B45"/>
    <w:rsid w:val="00D629A5"/>
    <w:rsid w:val="00D6327F"/>
    <w:rsid w:val="00D64371"/>
    <w:rsid w:val="00D656F3"/>
    <w:rsid w:val="00D65942"/>
    <w:rsid w:val="00D65A5E"/>
    <w:rsid w:val="00D6607D"/>
    <w:rsid w:val="00D66240"/>
    <w:rsid w:val="00D66842"/>
    <w:rsid w:val="00D66EB5"/>
    <w:rsid w:val="00D67BA5"/>
    <w:rsid w:val="00D71EF6"/>
    <w:rsid w:val="00D72601"/>
    <w:rsid w:val="00D732ED"/>
    <w:rsid w:val="00D73491"/>
    <w:rsid w:val="00D73B84"/>
    <w:rsid w:val="00D74CCB"/>
    <w:rsid w:val="00D77432"/>
    <w:rsid w:val="00D77BEB"/>
    <w:rsid w:val="00D81BE1"/>
    <w:rsid w:val="00D81D31"/>
    <w:rsid w:val="00D826F2"/>
    <w:rsid w:val="00D827BA"/>
    <w:rsid w:val="00D8365D"/>
    <w:rsid w:val="00D8515C"/>
    <w:rsid w:val="00D85253"/>
    <w:rsid w:val="00D8649D"/>
    <w:rsid w:val="00D865B6"/>
    <w:rsid w:val="00D87148"/>
    <w:rsid w:val="00D87D32"/>
    <w:rsid w:val="00D87DA6"/>
    <w:rsid w:val="00D90E45"/>
    <w:rsid w:val="00D920A3"/>
    <w:rsid w:val="00D92573"/>
    <w:rsid w:val="00D92FB6"/>
    <w:rsid w:val="00D935B6"/>
    <w:rsid w:val="00D94773"/>
    <w:rsid w:val="00D94D14"/>
    <w:rsid w:val="00D94DB0"/>
    <w:rsid w:val="00D94DC6"/>
    <w:rsid w:val="00D973F0"/>
    <w:rsid w:val="00DA13BF"/>
    <w:rsid w:val="00DA2356"/>
    <w:rsid w:val="00DA25C0"/>
    <w:rsid w:val="00DA33E2"/>
    <w:rsid w:val="00DA352B"/>
    <w:rsid w:val="00DA4E72"/>
    <w:rsid w:val="00DA5070"/>
    <w:rsid w:val="00DA55F9"/>
    <w:rsid w:val="00DA5CEE"/>
    <w:rsid w:val="00DA5FB3"/>
    <w:rsid w:val="00DA6C90"/>
    <w:rsid w:val="00DA7B90"/>
    <w:rsid w:val="00DB08D5"/>
    <w:rsid w:val="00DB0EEA"/>
    <w:rsid w:val="00DB3225"/>
    <w:rsid w:val="00DB659B"/>
    <w:rsid w:val="00DB73D7"/>
    <w:rsid w:val="00DC017C"/>
    <w:rsid w:val="00DC2CCA"/>
    <w:rsid w:val="00DC2F21"/>
    <w:rsid w:val="00DC6147"/>
    <w:rsid w:val="00DC6B89"/>
    <w:rsid w:val="00DC6E41"/>
    <w:rsid w:val="00DD080C"/>
    <w:rsid w:val="00DD0C10"/>
    <w:rsid w:val="00DD1459"/>
    <w:rsid w:val="00DD2E6A"/>
    <w:rsid w:val="00DD6D7B"/>
    <w:rsid w:val="00DD6F2A"/>
    <w:rsid w:val="00DD7EFA"/>
    <w:rsid w:val="00DE026D"/>
    <w:rsid w:val="00DE2447"/>
    <w:rsid w:val="00DE27E5"/>
    <w:rsid w:val="00DE4F3C"/>
    <w:rsid w:val="00DE574E"/>
    <w:rsid w:val="00DE7EFB"/>
    <w:rsid w:val="00DF01F6"/>
    <w:rsid w:val="00DF0648"/>
    <w:rsid w:val="00DF16C2"/>
    <w:rsid w:val="00DF22FC"/>
    <w:rsid w:val="00DF52B5"/>
    <w:rsid w:val="00DF5EF3"/>
    <w:rsid w:val="00DF757D"/>
    <w:rsid w:val="00DF785D"/>
    <w:rsid w:val="00DF7EE1"/>
    <w:rsid w:val="00E02B68"/>
    <w:rsid w:val="00E02D41"/>
    <w:rsid w:val="00E031B8"/>
    <w:rsid w:val="00E0371C"/>
    <w:rsid w:val="00E03AD3"/>
    <w:rsid w:val="00E04DA5"/>
    <w:rsid w:val="00E0691F"/>
    <w:rsid w:val="00E06E59"/>
    <w:rsid w:val="00E073A7"/>
    <w:rsid w:val="00E07E1C"/>
    <w:rsid w:val="00E07EB4"/>
    <w:rsid w:val="00E10853"/>
    <w:rsid w:val="00E14951"/>
    <w:rsid w:val="00E150AD"/>
    <w:rsid w:val="00E15500"/>
    <w:rsid w:val="00E15DFF"/>
    <w:rsid w:val="00E2114E"/>
    <w:rsid w:val="00E211ED"/>
    <w:rsid w:val="00E21525"/>
    <w:rsid w:val="00E219AC"/>
    <w:rsid w:val="00E228A4"/>
    <w:rsid w:val="00E24142"/>
    <w:rsid w:val="00E249DC"/>
    <w:rsid w:val="00E25594"/>
    <w:rsid w:val="00E25985"/>
    <w:rsid w:val="00E3039E"/>
    <w:rsid w:val="00E30667"/>
    <w:rsid w:val="00E309BB"/>
    <w:rsid w:val="00E329C7"/>
    <w:rsid w:val="00E33F35"/>
    <w:rsid w:val="00E34507"/>
    <w:rsid w:val="00E34679"/>
    <w:rsid w:val="00E373B0"/>
    <w:rsid w:val="00E37B36"/>
    <w:rsid w:val="00E41617"/>
    <w:rsid w:val="00E43EB8"/>
    <w:rsid w:val="00E4463A"/>
    <w:rsid w:val="00E45BC9"/>
    <w:rsid w:val="00E474CE"/>
    <w:rsid w:val="00E50FB7"/>
    <w:rsid w:val="00E51BA1"/>
    <w:rsid w:val="00E52392"/>
    <w:rsid w:val="00E524D3"/>
    <w:rsid w:val="00E52C19"/>
    <w:rsid w:val="00E53DE4"/>
    <w:rsid w:val="00E56E1E"/>
    <w:rsid w:val="00E56EBC"/>
    <w:rsid w:val="00E57F66"/>
    <w:rsid w:val="00E601C8"/>
    <w:rsid w:val="00E60412"/>
    <w:rsid w:val="00E6097D"/>
    <w:rsid w:val="00E64ABC"/>
    <w:rsid w:val="00E655CC"/>
    <w:rsid w:val="00E66674"/>
    <w:rsid w:val="00E673CF"/>
    <w:rsid w:val="00E70515"/>
    <w:rsid w:val="00E7074F"/>
    <w:rsid w:val="00E72905"/>
    <w:rsid w:val="00E73A21"/>
    <w:rsid w:val="00E73B1D"/>
    <w:rsid w:val="00E7561A"/>
    <w:rsid w:val="00E770C5"/>
    <w:rsid w:val="00E80077"/>
    <w:rsid w:val="00E8036F"/>
    <w:rsid w:val="00E8100D"/>
    <w:rsid w:val="00E81582"/>
    <w:rsid w:val="00E82901"/>
    <w:rsid w:val="00E82AEE"/>
    <w:rsid w:val="00E8304C"/>
    <w:rsid w:val="00E83B7D"/>
    <w:rsid w:val="00E850C2"/>
    <w:rsid w:val="00E859CC"/>
    <w:rsid w:val="00E86049"/>
    <w:rsid w:val="00E86AC1"/>
    <w:rsid w:val="00E870DB"/>
    <w:rsid w:val="00E8794F"/>
    <w:rsid w:val="00E9063E"/>
    <w:rsid w:val="00E9271B"/>
    <w:rsid w:val="00E94B38"/>
    <w:rsid w:val="00E95DFA"/>
    <w:rsid w:val="00E9791F"/>
    <w:rsid w:val="00E97BA0"/>
    <w:rsid w:val="00E97F89"/>
    <w:rsid w:val="00EA0317"/>
    <w:rsid w:val="00EA15B3"/>
    <w:rsid w:val="00EA195B"/>
    <w:rsid w:val="00EA1B7D"/>
    <w:rsid w:val="00EA4B91"/>
    <w:rsid w:val="00EA5044"/>
    <w:rsid w:val="00EA6AEE"/>
    <w:rsid w:val="00EA74ED"/>
    <w:rsid w:val="00EB081B"/>
    <w:rsid w:val="00EB0CD5"/>
    <w:rsid w:val="00EB23EB"/>
    <w:rsid w:val="00EB25FB"/>
    <w:rsid w:val="00EB37A4"/>
    <w:rsid w:val="00EB3FB8"/>
    <w:rsid w:val="00EB4995"/>
    <w:rsid w:val="00EB6111"/>
    <w:rsid w:val="00EB6483"/>
    <w:rsid w:val="00EB65FD"/>
    <w:rsid w:val="00EB6825"/>
    <w:rsid w:val="00EB6F75"/>
    <w:rsid w:val="00EC0651"/>
    <w:rsid w:val="00EC20E6"/>
    <w:rsid w:val="00EC3EA2"/>
    <w:rsid w:val="00EC43A3"/>
    <w:rsid w:val="00EC6168"/>
    <w:rsid w:val="00EC676E"/>
    <w:rsid w:val="00ED0157"/>
    <w:rsid w:val="00ED074C"/>
    <w:rsid w:val="00ED07DA"/>
    <w:rsid w:val="00ED123E"/>
    <w:rsid w:val="00ED1C49"/>
    <w:rsid w:val="00ED237E"/>
    <w:rsid w:val="00ED331A"/>
    <w:rsid w:val="00ED4A34"/>
    <w:rsid w:val="00ED51E6"/>
    <w:rsid w:val="00ED539C"/>
    <w:rsid w:val="00ED6178"/>
    <w:rsid w:val="00EE0119"/>
    <w:rsid w:val="00EE1CDD"/>
    <w:rsid w:val="00EE23C4"/>
    <w:rsid w:val="00EE456C"/>
    <w:rsid w:val="00EE5B90"/>
    <w:rsid w:val="00EE5CFD"/>
    <w:rsid w:val="00EE61F7"/>
    <w:rsid w:val="00EE62E9"/>
    <w:rsid w:val="00EE6AF2"/>
    <w:rsid w:val="00EE7483"/>
    <w:rsid w:val="00EE764B"/>
    <w:rsid w:val="00EF1717"/>
    <w:rsid w:val="00EF2314"/>
    <w:rsid w:val="00EF23F9"/>
    <w:rsid w:val="00EF2647"/>
    <w:rsid w:val="00EF5E0C"/>
    <w:rsid w:val="00EF7ECF"/>
    <w:rsid w:val="00F00623"/>
    <w:rsid w:val="00F00A7F"/>
    <w:rsid w:val="00F00C34"/>
    <w:rsid w:val="00F01509"/>
    <w:rsid w:val="00F0215A"/>
    <w:rsid w:val="00F027B6"/>
    <w:rsid w:val="00F045D7"/>
    <w:rsid w:val="00F048AE"/>
    <w:rsid w:val="00F05504"/>
    <w:rsid w:val="00F05F04"/>
    <w:rsid w:val="00F05FAB"/>
    <w:rsid w:val="00F06113"/>
    <w:rsid w:val="00F064AD"/>
    <w:rsid w:val="00F111FA"/>
    <w:rsid w:val="00F11B3E"/>
    <w:rsid w:val="00F11D60"/>
    <w:rsid w:val="00F13F5B"/>
    <w:rsid w:val="00F1443B"/>
    <w:rsid w:val="00F14F3D"/>
    <w:rsid w:val="00F15883"/>
    <w:rsid w:val="00F15BCE"/>
    <w:rsid w:val="00F1615A"/>
    <w:rsid w:val="00F16227"/>
    <w:rsid w:val="00F163BF"/>
    <w:rsid w:val="00F16A24"/>
    <w:rsid w:val="00F170A0"/>
    <w:rsid w:val="00F207D1"/>
    <w:rsid w:val="00F20F69"/>
    <w:rsid w:val="00F22015"/>
    <w:rsid w:val="00F24E46"/>
    <w:rsid w:val="00F251AF"/>
    <w:rsid w:val="00F25FF2"/>
    <w:rsid w:val="00F26C59"/>
    <w:rsid w:val="00F30749"/>
    <w:rsid w:val="00F307AC"/>
    <w:rsid w:val="00F30C93"/>
    <w:rsid w:val="00F31B05"/>
    <w:rsid w:val="00F32ABC"/>
    <w:rsid w:val="00F33763"/>
    <w:rsid w:val="00F34569"/>
    <w:rsid w:val="00F3479D"/>
    <w:rsid w:val="00F348B4"/>
    <w:rsid w:val="00F41225"/>
    <w:rsid w:val="00F41C79"/>
    <w:rsid w:val="00F41E10"/>
    <w:rsid w:val="00F43790"/>
    <w:rsid w:val="00F443CB"/>
    <w:rsid w:val="00F44F37"/>
    <w:rsid w:val="00F45413"/>
    <w:rsid w:val="00F45428"/>
    <w:rsid w:val="00F45EA6"/>
    <w:rsid w:val="00F46740"/>
    <w:rsid w:val="00F47282"/>
    <w:rsid w:val="00F47F29"/>
    <w:rsid w:val="00F47F4E"/>
    <w:rsid w:val="00F5054D"/>
    <w:rsid w:val="00F505E1"/>
    <w:rsid w:val="00F51213"/>
    <w:rsid w:val="00F5172E"/>
    <w:rsid w:val="00F51D2D"/>
    <w:rsid w:val="00F51FF5"/>
    <w:rsid w:val="00F530B6"/>
    <w:rsid w:val="00F55F40"/>
    <w:rsid w:val="00F5697E"/>
    <w:rsid w:val="00F575F1"/>
    <w:rsid w:val="00F57B62"/>
    <w:rsid w:val="00F60C94"/>
    <w:rsid w:val="00F610DD"/>
    <w:rsid w:val="00F61792"/>
    <w:rsid w:val="00F61B33"/>
    <w:rsid w:val="00F62224"/>
    <w:rsid w:val="00F634B3"/>
    <w:rsid w:val="00F662D1"/>
    <w:rsid w:val="00F704F1"/>
    <w:rsid w:val="00F73224"/>
    <w:rsid w:val="00F744E3"/>
    <w:rsid w:val="00F74FAF"/>
    <w:rsid w:val="00F75B5C"/>
    <w:rsid w:val="00F767B8"/>
    <w:rsid w:val="00F76D4C"/>
    <w:rsid w:val="00F77C6A"/>
    <w:rsid w:val="00F80041"/>
    <w:rsid w:val="00F80080"/>
    <w:rsid w:val="00F8260C"/>
    <w:rsid w:val="00F82A37"/>
    <w:rsid w:val="00F84A46"/>
    <w:rsid w:val="00F85A2B"/>
    <w:rsid w:val="00F87171"/>
    <w:rsid w:val="00F87343"/>
    <w:rsid w:val="00F87D88"/>
    <w:rsid w:val="00F90709"/>
    <w:rsid w:val="00F90DFE"/>
    <w:rsid w:val="00F91CC7"/>
    <w:rsid w:val="00F922AE"/>
    <w:rsid w:val="00F924A6"/>
    <w:rsid w:val="00F92A74"/>
    <w:rsid w:val="00F933F9"/>
    <w:rsid w:val="00F94264"/>
    <w:rsid w:val="00F95657"/>
    <w:rsid w:val="00F966B4"/>
    <w:rsid w:val="00F97490"/>
    <w:rsid w:val="00FA039A"/>
    <w:rsid w:val="00FA1002"/>
    <w:rsid w:val="00FA4374"/>
    <w:rsid w:val="00FA62C5"/>
    <w:rsid w:val="00FA7262"/>
    <w:rsid w:val="00FA7E15"/>
    <w:rsid w:val="00FB015F"/>
    <w:rsid w:val="00FB0E3F"/>
    <w:rsid w:val="00FB10E2"/>
    <w:rsid w:val="00FB16BE"/>
    <w:rsid w:val="00FB366C"/>
    <w:rsid w:val="00FB45C1"/>
    <w:rsid w:val="00FB5802"/>
    <w:rsid w:val="00FB593D"/>
    <w:rsid w:val="00FB7C48"/>
    <w:rsid w:val="00FC25DE"/>
    <w:rsid w:val="00FC3807"/>
    <w:rsid w:val="00FC4093"/>
    <w:rsid w:val="00FC51A0"/>
    <w:rsid w:val="00FC5F25"/>
    <w:rsid w:val="00FC604D"/>
    <w:rsid w:val="00FC6FD2"/>
    <w:rsid w:val="00FD177C"/>
    <w:rsid w:val="00FD340A"/>
    <w:rsid w:val="00FD366F"/>
    <w:rsid w:val="00FD3C20"/>
    <w:rsid w:val="00FD4177"/>
    <w:rsid w:val="00FD4EC6"/>
    <w:rsid w:val="00FD68EF"/>
    <w:rsid w:val="00FD6F8D"/>
    <w:rsid w:val="00FD6FF0"/>
    <w:rsid w:val="00FD7A03"/>
    <w:rsid w:val="00FE10C2"/>
    <w:rsid w:val="00FE21B5"/>
    <w:rsid w:val="00FE2235"/>
    <w:rsid w:val="00FE276F"/>
    <w:rsid w:val="00FE2D07"/>
    <w:rsid w:val="00FE2F76"/>
    <w:rsid w:val="00FE2FA1"/>
    <w:rsid w:val="00FE357F"/>
    <w:rsid w:val="00FE371B"/>
    <w:rsid w:val="00FE4608"/>
    <w:rsid w:val="00FE4667"/>
    <w:rsid w:val="00FE4C43"/>
    <w:rsid w:val="00FE4E1A"/>
    <w:rsid w:val="00FE5C54"/>
    <w:rsid w:val="00FE6DC5"/>
    <w:rsid w:val="00FE6E8D"/>
    <w:rsid w:val="00FF0F02"/>
    <w:rsid w:val="00FF1C64"/>
    <w:rsid w:val="00FF236D"/>
    <w:rsid w:val="00FF3804"/>
    <w:rsid w:val="00FF3CF8"/>
    <w:rsid w:val="00FF4FC1"/>
    <w:rsid w:val="00FF5BB1"/>
    <w:rsid w:val="00FF64C8"/>
    <w:rsid w:val="00FF6CA4"/>
    <w:rsid w:val="00FF7B07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E59688"/>
  <w15:chartTrackingRefBased/>
  <w15:docId w15:val="{0027E7DF-237E-481D-8B74-C6F17670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7D1D"/>
    <w:pPr>
      <w:keepLines/>
      <w:spacing w:before="120"/>
    </w:pPr>
    <w:rPr>
      <w:noProof/>
      <w:lang w:val="en-GB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1"/>
      </w:numPr>
      <w:pBdr>
        <w:bottom w:val="single" w:sz="18" w:space="1" w:color="000000"/>
      </w:pBdr>
      <w:spacing w:before="240" w:after="60"/>
      <w:ind w:left="431" w:hanging="431"/>
      <w:jc w:val="both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6774EF"/>
    <w:pPr>
      <w:keepNext/>
      <w:numPr>
        <w:ilvl w:val="1"/>
        <w:numId w:val="1"/>
      </w:numPr>
      <w:pBdr>
        <w:bottom w:val="single" w:sz="18" w:space="1" w:color="000000"/>
      </w:pBdr>
      <w:spacing w:before="240" w:after="6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ind w:left="1440"/>
    </w:pPr>
    <w:rPr>
      <w:noProof w:val="0"/>
      <w:color w:val="000000"/>
    </w:rPr>
  </w:style>
  <w:style w:type="paragraph" w:customStyle="1" w:styleId="BodySingle">
    <w:name w:val="Body Single"/>
    <w:pPr>
      <w:widowControl w:val="0"/>
      <w:spacing w:before="72" w:after="72"/>
      <w:ind w:left="3168" w:hanging="144"/>
    </w:pPr>
    <w:rPr>
      <w:color w:val="000000"/>
    </w:rPr>
  </w:style>
  <w:style w:type="paragraph" w:customStyle="1" w:styleId="Bullet">
    <w:name w:val="Bullet"/>
    <w:pPr>
      <w:widowControl w:val="0"/>
      <w:ind w:left="3024" w:hanging="288"/>
    </w:pPr>
    <w:rPr>
      <w:color w:val="000000"/>
    </w:rPr>
  </w:style>
  <w:style w:type="paragraph" w:customStyle="1" w:styleId="Bullet1">
    <w:name w:val="Bullet 1"/>
    <w:pPr>
      <w:widowControl w:val="0"/>
      <w:spacing w:line="244" w:lineRule="atLeast"/>
      <w:ind w:left="3096" w:hanging="216"/>
    </w:pPr>
    <w:rPr>
      <w:color w:val="000000"/>
    </w:rPr>
  </w:style>
  <w:style w:type="paragraph" w:customStyle="1" w:styleId="Sechead">
    <w:name w:val="Sechead"/>
    <w:pPr>
      <w:widowControl w:val="0"/>
      <w:spacing w:before="72" w:after="72"/>
    </w:pPr>
    <w:rPr>
      <w:rFonts w:ascii="Helvetica" w:hAnsi="Helvetica" w:cs="Helvetica"/>
      <w:b/>
      <w:bCs/>
      <w:color w:val="000000"/>
      <w:sz w:val="24"/>
      <w:szCs w:val="24"/>
    </w:rPr>
  </w:style>
  <w:style w:type="paragraph" w:customStyle="1" w:styleId="Subhead">
    <w:name w:val="Subhead"/>
    <w:pPr>
      <w:widowControl w:val="0"/>
      <w:spacing w:before="72" w:after="72"/>
      <w:ind w:left="2664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Title">
    <w:name w:val="Title"/>
    <w:basedOn w:val="Normal"/>
    <w:qFormat/>
    <w:pPr>
      <w:keepNext/>
      <w:widowControl w:val="0"/>
      <w:spacing w:before="144" w:after="72"/>
    </w:pPr>
    <w:rPr>
      <w:rFonts w:ascii="Helvetica" w:hAnsi="Helvetica" w:cs="Helvetica"/>
      <w:b/>
      <w:bCs/>
      <w:noProof w:val="0"/>
      <w:color w:val="000000"/>
      <w:sz w:val="52"/>
      <w:szCs w:val="52"/>
    </w:rPr>
  </w:style>
  <w:style w:type="paragraph" w:styleId="Header">
    <w:name w:val="header"/>
    <w:basedOn w:val="Normal"/>
    <w:pPr>
      <w:widowControl w:val="0"/>
    </w:pPr>
    <w:rPr>
      <w:b/>
      <w:bCs/>
      <w:i/>
      <w:iCs/>
      <w:noProof w:val="0"/>
      <w:color w:val="000000"/>
    </w:rPr>
  </w:style>
  <w:style w:type="paragraph" w:styleId="Footer">
    <w:name w:val="footer"/>
    <w:basedOn w:val="Normal"/>
    <w:pPr>
      <w:widowControl w:val="0"/>
      <w:jc w:val="right"/>
    </w:pPr>
    <w:rPr>
      <w:b/>
      <w:bCs/>
      <w:i/>
      <w:iCs/>
      <w:noProof w:val="0"/>
      <w:color w:val="000000"/>
    </w:rPr>
  </w:style>
  <w:style w:type="paragraph" w:customStyle="1" w:styleId="TableText">
    <w:name w:val="Table Text"/>
    <w:basedOn w:val="Normal"/>
    <w:pPr>
      <w:widowControl w:val="0"/>
      <w:spacing w:before="0"/>
    </w:pPr>
    <w:rPr>
      <w:rFonts w:ascii="Arial" w:hAnsi="Arial" w:cs="Arial"/>
      <w:color w:val="000000"/>
      <w:sz w:val="16"/>
      <w:szCs w:val="16"/>
    </w:rPr>
  </w:style>
  <w:style w:type="paragraph" w:customStyle="1" w:styleId="Chap">
    <w:name w:val="Chap"/>
    <w:pPr>
      <w:keepNext/>
      <w:keepLines/>
      <w:widowControl w:val="0"/>
      <w:spacing w:before="144" w:line="446" w:lineRule="atLeast"/>
      <w:jc w:val="right"/>
    </w:pPr>
    <w:rPr>
      <w:rFonts w:ascii="Helvetica" w:hAnsi="Helvetica" w:cs="Helvetica"/>
      <w:b/>
      <w:bCs/>
      <w:color w:val="000000"/>
      <w:sz w:val="60"/>
      <w:szCs w:val="60"/>
    </w:rPr>
  </w:style>
  <w:style w:type="paragraph" w:customStyle="1" w:styleId="FirstSub">
    <w:name w:val="FirstSub"/>
    <w:autoRedefine/>
    <w:pPr>
      <w:widowControl w:val="0"/>
      <w:spacing w:before="72"/>
      <w:ind w:left="851"/>
    </w:pPr>
    <w:rPr>
      <w:i/>
      <w:iCs/>
      <w:color w:val="0000FF"/>
    </w:rPr>
  </w:style>
  <w:style w:type="paragraph" w:customStyle="1" w:styleId="Footnote">
    <w:name w:val="Footnote"/>
    <w:pPr>
      <w:widowControl w:val="0"/>
    </w:pPr>
    <w:rPr>
      <w:color w:val="000000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E1767"/>
    <w:pPr>
      <w:tabs>
        <w:tab w:val="left" w:pos="567"/>
        <w:tab w:val="right" w:pos="9072"/>
      </w:tabs>
      <w:spacing w:before="360"/>
    </w:pPr>
    <w:rPr>
      <w:rFonts w:ascii="Arial" w:eastAsia="MS Mincho" w:hAnsi="Arial" w:cs="Arial"/>
      <w:b/>
      <w:bCs/>
      <w:cap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1E1767"/>
    <w:pPr>
      <w:tabs>
        <w:tab w:val="left" w:pos="810"/>
        <w:tab w:val="left" w:pos="1418"/>
        <w:tab w:val="right" w:pos="9072"/>
      </w:tabs>
      <w:spacing w:before="240"/>
    </w:pPr>
    <w:rPr>
      <w:rFonts w:ascii="Arial" w:hAnsi="Arial" w:cs="Arial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pos="9072"/>
      </w:tabs>
      <w:spacing w:before="0"/>
      <w:ind w:left="567"/>
    </w:pPr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pPr>
      <w:tabs>
        <w:tab w:val="right" w:pos="9072"/>
      </w:tabs>
      <w:spacing w:before="0"/>
      <w:ind w:left="1418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noProof w:val="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Listing">
    <w:name w:val="Listing"/>
    <w:basedOn w:val="Normal"/>
    <w:pPr>
      <w:spacing w:before="0"/>
    </w:pPr>
    <w:rPr>
      <w:rFonts w:ascii="Courier New" w:hAnsi="Courier New" w:cs="Courier New"/>
      <w:sz w:val="16"/>
      <w:szCs w:val="16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spacing w:before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pPr>
      <w:spacing w:before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pPr>
      <w:spacing w:before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pPr>
      <w:spacing w:before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pPr>
      <w:spacing w:before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pPr>
      <w:spacing w:before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pPr>
      <w:spacing w:before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pPr>
      <w:spacing w:before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pPr>
      <w:spacing w:before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DocumentMap">
    <w:name w:val="Document Map"/>
    <w:basedOn w:val="Normal"/>
    <w:semiHidden/>
    <w:rsid w:val="008D1CA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163A54"/>
    <w:pPr>
      <w:keepLines/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41B7"/>
    <w:rPr>
      <w:b/>
      <w:bCs/>
    </w:rPr>
  </w:style>
  <w:style w:type="paragraph" w:styleId="BalloonText">
    <w:name w:val="Balloon Text"/>
    <w:basedOn w:val="Normal"/>
    <w:semiHidden/>
    <w:rsid w:val="001641B7"/>
    <w:rPr>
      <w:rFonts w:ascii="Tahoma" w:hAnsi="Tahoma" w:cs="Tahoma"/>
      <w:sz w:val="16"/>
      <w:szCs w:val="16"/>
    </w:rPr>
  </w:style>
  <w:style w:type="character" w:customStyle="1" w:styleId="wilsonjh">
    <w:name w:val="wilsonjh"/>
    <w:basedOn w:val="DefaultParagraphFont"/>
    <w:semiHidden/>
    <w:rsid w:val="001A3DF5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paragraph" w:customStyle="1" w:styleId="Heading3-Text">
    <w:name w:val="Heading 3-Text"/>
    <w:basedOn w:val="Normal"/>
    <w:rsid w:val="00CE1D30"/>
    <w:pPr>
      <w:keepLines w:val="0"/>
      <w:spacing w:after="120"/>
      <w:ind w:left="1800"/>
    </w:pPr>
    <w:rPr>
      <w:rFonts w:ascii="Arial" w:hAnsi="Arial"/>
      <w:noProof w:val="0"/>
      <w:sz w:val="22"/>
      <w:lang w:val="en-US"/>
    </w:rPr>
  </w:style>
  <w:style w:type="paragraph" w:customStyle="1" w:styleId="Heading3-Normal">
    <w:name w:val="Heading 3-Normal"/>
    <w:rsid w:val="00805DD7"/>
    <w:pPr>
      <w:ind w:left="1800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2615D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E1B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rsid w:val="00717B4A"/>
    <w:pPr>
      <w:spacing w:before="0"/>
    </w:pPr>
  </w:style>
  <w:style w:type="character" w:customStyle="1" w:styleId="EndnoteTextChar">
    <w:name w:val="Endnote Text Char"/>
    <w:basedOn w:val="DefaultParagraphFont"/>
    <w:link w:val="EndnoteText"/>
    <w:rsid w:val="00717B4A"/>
    <w:rPr>
      <w:noProof/>
      <w:lang w:val="en-GB"/>
    </w:rPr>
  </w:style>
  <w:style w:type="paragraph" w:styleId="FootnoteText">
    <w:name w:val="footnote text"/>
    <w:basedOn w:val="Normal"/>
    <w:link w:val="FootnoteTextChar"/>
    <w:rsid w:val="00717B4A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rsid w:val="00717B4A"/>
    <w:rPr>
      <w:noProof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2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27DEB54E7C949B24B16CD52C10D6A" ma:contentTypeVersion="4" ma:contentTypeDescription="Create a new document." ma:contentTypeScope="" ma:versionID="919ffa07a70d4bb6fb5f308c7ed7a11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2CE4-CE26-4C1C-A5BD-46C91CAC0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A75AFA8-13AE-4ABC-BEAA-64748B91BA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BD0E4-0C18-4CAB-ABC5-D27198A86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105975-11CB-49A0-A06A-77378BAA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8984</CharactersWithSpaces>
  <SharedDoc>false</SharedDoc>
  <HLinks>
    <vt:vector size="6" baseType="variant">
      <vt:variant>
        <vt:i4>3276860</vt:i4>
      </vt:variant>
      <vt:variant>
        <vt:i4>132</vt:i4>
      </vt:variant>
      <vt:variant>
        <vt:i4>0</vt:i4>
      </vt:variant>
      <vt:variant>
        <vt:i4>5</vt:i4>
      </vt:variant>
      <vt:variant>
        <vt:lpwstr>\\fileshares.corp.hp.com\groups\gonzo\Panda File User Interface\o_kop\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Bartlow, Erik</dc:creator>
  <cp:keywords/>
  <dc:description/>
  <cp:lastModifiedBy>Bartlow, Erik (WeHP CITS)</cp:lastModifiedBy>
  <cp:revision>8</cp:revision>
  <cp:lastPrinted>2005-07-27T16:48:00Z</cp:lastPrinted>
  <dcterms:created xsi:type="dcterms:W3CDTF">2018-01-31T18:34:00Z</dcterms:created>
  <dcterms:modified xsi:type="dcterms:W3CDTF">2018-01-31T21:37:00Z</dcterms:modified>
</cp:coreProperties>
</file>