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2E86AB"/>
          <w:sz w:val="80"/>
        </w:rPr>
        <w:t>NutriVault</w:t>
        <w:br/>
      </w:r>
      <w:r>
        <w:rPr>
          <w:b/>
          <w:color w:val="F7B731"/>
          <w:sz w:val="48"/>
        </w:rPr>
        <w:t>Guide d'utilisation</w:t>
        <w:br/>
      </w:r>
      <w:r>
        <w:rPr>
          <w:color w:val="2C3E50"/>
          <w:sz w:val="36"/>
        </w:rPr>
        <w:t>Templates de notes de consultation</w:t>
        <w:br/>
        <w:br/>
      </w:r>
      <w:r>
        <w:rPr>
          <w:color w:val="7F8C8D"/>
          <w:sz w:val="22"/>
        </w:rPr>
        <w:t>Version 8.7.16  ·  À l'attention des diététicien(ne)s</w:t>
        <w:br/>
        <w:br/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7"/>
            <w:shd w:val="clear" w:color="auto" w:fill="2E86AB"/>
          </w:tcPr>
          <w:p>
            <w:r>
              <w:t xml:space="preserve"> </w:t>
            </w:r>
          </w:p>
        </w:tc>
        <w:tc>
          <w:tcPr>
            <w:tcW w:type="dxa" w:w="4533"/>
            <w:shd w:val="clear" w:color="auto" w:fill="ECF3F9"/>
          </w:tcPr>
          <w:p>
            <w:r>
              <w:rPr>
                <w:b/>
                <w:color w:val="2E86AB"/>
                <w:sz w:val="30"/>
              </w:rPr>
              <w:t xml:space="preserve">1  </w:t>
            </w:r>
            <w:r>
              <w:rPr>
                <w:b/>
                <w:color w:val="2C3E50"/>
                <w:sz w:val="30"/>
              </w:rPr>
              <w:t>Introduction</w:t>
            </w:r>
          </w:p>
        </w:tc>
      </w:tr>
    </w:tbl>
    <w:p/>
    <w:p>
      <w:r>
        <w:rPr>
          <w:color w:val="2C3E50"/>
          <w:sz w:val="22"/>
        </w:rPr>
        <w:t>Les templates de notes de consultation permettent de standardiser vos prises de notes lors des séances avec vos patients. Préparez votre modèle une seule fois — NutriVault l'applique automatiquement à chaque nouvelle consultation.</w:t>
      </w:r>
    </w:p>
    <w:p/>
    <w:p>
      <w:r>
        <w:rPr>
          <w:color w:val="2C3E50"/>
          <w:sz w:val="22"/>
        </w:rPr>
        <w:t>Ce que vous pouvez inclure dans un template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val="clear" w:color="auto" w:fill="2E86AB"/>
          </w:tcPr>
          <w:p>
            <w:r>
              <w:rPr>
                <w:b/>
                <w:color w:val="FFFFFF"/>
                <w:sz w:val="20"/>
              </w:rPr>
              <w:t>Type d'élément</w:t>
            </w:r>
          </w:p>
        </w:tc>
        <w:tc>
          <w:tcPr>
            <w:tcW w:type="dxa" w:w="6236"/>
            <w:shd w:val="clear" w:color="auto" w:fill="2E86A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color w:val="2C3E50"/>
                <w:sz w:val="20"/>
              </w:rPr>
              <w:t>Catégorie de champs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color w:val="2C3E50"/>
                <w:sz w:val="20"/>
              </w:rPr>
              <w:t>Regroupement de champs personnalisés (antécédents, habitudes, évaluation…)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2C3E50"/>
                <w:sz w:val="20"/>
              </w:rPr>
              <w:t>Mesure clinique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2C3E50"/>
                <w:sz w:val="20"/>
              </w:rPr>
              <w:t>Poids, IMC, tension artérielle, glycémie, etc.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color w:val="2C3E50"/>
                <w:sz w:val="20"/>
              </w:rPr>
              <w:t>Instruction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color w:val="2C3E50"/>
                <w:sz w:val="20"/>
              </w:rPr>
              <w:t>Texte de guidage visible pendant la consultation, avec zone de notes libres</w:t>
            </w:r>
          </w:p>
        </w:tc>
      </w:tr>
    </w:tbl>
    <w:p/>
    <w:p>
      <w:r>
        <w:rPr>
          <w:color w:val="2C3E50"/>
          <w:sz w:val="22"/>
        </w:rPr>
        <w:t>Avantages :</w:t>
      </w:r>
    </w:p>
    <w:p>
      <w:pPr>
        <w:pStyle w:val="ListBullet"/>
        <w:ind w:left="283"/>
      </w:pPr>
      <w:r>
        <w:rPr>
          <w:color w:val="2C3E50"/>
          <w:sz w:val="22"/>
        </w:rPr>
        <w:t>Gain de temps : structure préparée à l'avance</w:t>
      </w:r>
    </w:p>
    <w:p>
      <w:pPr>
        <w:pStyle w:val="ListBullet"/>
        <w:ind w:left="283"/>
      </w:pPr>
      <w:r>
        <w:rPr>
          <w:color w:val="2C3E50"/>
          <w:sz w:val="22"/>
        </w:rPr>
        <w:t>Cohérence : mêmes informations collectées pour chaque type de consultation</w:t>
      </w:r>
    </w:p>
    <w:p>
      <w:pPr>
        <w:pStyle w:val="ListBullet"/>
        <w:ind w:left="283"/>
      </w:pPr>
      <w:r>
        <w:rPr>
          <w:color w:val="2C3E50"/>
          <w:sz w:val="22"/>
        </w:rPr>
        <w:t>Traçabilité : notes sauvegardées automatiquement toutes les 3 secondes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7"/>
            <w:shd w:val="clear" w:color="auto" w:fill="2E86AB"/>
          </w:tcPr>
          <w:p>
            <w:r>
              <w:t xml:space="preserve"> </w:t>
            </w:r>
          </w:p>
        </w:tc>
        <w:tc>
          <w:tcPr>
            <w:tcW w:type="dxa" w:w="4533"/>
            <w:shd w:val="clear" w:color="auto" w:fill="ECF3F9"/>
          </w:tcPr>
          <w:p>
            <w:r>
              <w:rPr>
                <w:b/>
                <w:color w:val="2E86AB"/>
                <w:sz w:val="30"/>
              </w:rPr>
              <w:t xml:space="preserve">2  </w:t>
            </w:r>
            <w:r>
              <w:rPr>
                <w:b/>
                <w:color w:val="2C3E50"/>
                <w:sz w:val="30"/>
              </w:rPr>
              <w:t>Accéder aux templates</w:t>
            </w:r>
          </w:p>
        </w:tc>
      </w:tr>
    </w:tbl>
    <w:p/>
    <w:p>
      <w:r>
        <w:rPr>
          <w:color w:val="2C3E50"/>
          <w:sz w:val="22"/>
        </w:rPr>
        <w:t>Dans le menu de navigation latéral, cliquez sur "Templates de consultation".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enu-side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Menu de navigation — "Templates de consultation"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7"/>
            <w:shd w:val="clear" w:color="auto" w:fill="2E86AB"/>
          </w:tcPr>
          <w:p>
            <w:r>
              <w:t xml:space="preserve"> </w:t>
            </w:r>
          </w:p>
        </w:tc>
        <w:tc>
          <w:tcPr>
            <w:tcW w:type="dxa" w:w="4533"/>
            <w:shd w:val="clear" w:color="auto" w:fill="ECF3F9"/>
          </w:tcPr>
          <w:p>
            <w:r>
              <w:rPr>
                <w:b/>
                <w:color w:val="2E86AB"/>
                <w:sz w:val="30"/>
              </w:rPr>
              <w:t xml:space="preserve">3  </w:t>
            </w:r>
            <w:r>
              <w:rPr>
                <w:b/>
                <w:color w:val="2C3E50"/>
                <w:sz w:val="30"/>
              </w:rPr>
              <w:t>Liste des templates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iste-templ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Page liste des templates</w:t>
      </w:r>
    </w:p>
    <w:p/>
    <w:p>
      <w:r>
        <w:rPr>
          <w:color w:val="2C3E50"/>
          <w:sz w:val="22"/>
        </w:rPr>
        <w:t>Pour chaque template : nom avec badge de type coloré, description, nombre d'éléments, visibilité (Privé / Partagé), statut par défaut (⭐), et boutons d'action.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val="clear" w:color="auto" w:fill="2E86A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6236"/>
            <w:shd w:val="clear" w:color="auto" w:fill="2E86AB"/>
          </w:tcPr>
          <w:p>
            <w:r>
              <w:rPr>
                <w:b/>
                <w:color w:val="FFFFFF"/>
                <w:sz w:val="20"/>
              </w:rPr>
              <w:t>Usage conseillé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color w:val="2C3E50"/>
                <w:sz w:val="20"/>
              </w:rPr>
              <w:t>Anamnèse (rouge)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color w:val="2C3E50"/>
                <w:sz w:val="20"/>
              </w:rPr>
              <w:t>Première consultation, collecte de l'historique patient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2C3E50"/>
                <w:sz w:val="20"/>
              </w:rPr>
              <w:t>Évaluation (bleu)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2C3E50"/>
                <w:sz w:val="20"/>
              </w:rPr>
              <w:t>Bilan nutritionnel, évaluation clinique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color w:val="2C3E50"/>
                <w:sz w:val="20"/>
              </w:rPr>
              <w:t>Plan alimentaire (vert)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color w:val="2C3E50"/>
                <w:sz w:val="20"/>
              </w:rPr>
              <w:t>Consultation de prescription diététique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2C3E50"/>
                <w:sz w:val="20"/>
              </w:rPr>
              <w:t>Suivi (orange)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2C3E50"/>
                <w:sz w:val="20"/>
              </w:rPr>
              <w:t>Consultations de suivi régulier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color w:val="2C3E50"/>
                <w:sz w:val="20"/>
              </w:rPr>
              <w:t>Général (violet)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color w:val="2C3E50"/>
                <w:sz w:val="20"/>
              </w:rPr>
              <w:t>Usage polyvalent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2C3E50"/>
                <w:sz w:val="20"/>
              </w:rPr>
              <w:t>Personnalisé (sarcelle)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2C3E50"/>
                <w:sz w:val="20"/>
              </w:rPr>
              <w:t>Tout autre cas spécifique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7"/>
            <w:shd w:val="clear" w:color="auto" w:fill="2E86AB"/>
          </w:tcPr>
          <w:p>
            <w:r>
              <w:t xml:space="preserve"> </w:t>
            </w:r>
          </w:p>
        </w:tc>
        <w:tc>
          <w:tcPr>
            <w:tcW w:type="dxa" w:w="4533"/>
            <w:shd w:val="clear" w:color="auto" w:fill="ECF3F9"/>
          </w:tcPr>
          <w:p>
            <w:r>
              <w:rPr>
                <w:b/>
                <w:color w:val="2E86AB"/>
                <w:sz w:val="30"/>
              </w:rPr>
              <w:t xml:space="preserve">4  </w:t>
            </w:r>
            <w:r>
              <w:rPr>
                <w:b/>
                <w:color w:val="2C3E50"/>
                <w:sz w:val="30"/>
              </w:rPr>
              <w:t>Créer un nouveau template</w:t>
            </w:r>
          </w:p>
        </w:tc>
      </w:tr>
    </w:tbl>
    <w:p/>
    <w:p>
      <w:r>
        <w:rPr>
          <w:color w:val="2C3E50"/>
          <w:sz w:val="22"/>
        </w:rPr>
        <w:t>Cliquez sur le bouton "Nouveau modele" en haut à droite de la liste.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8446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outon-nouveau-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4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Bouton "Nouveau modele"</w:t>
      </w:r>
    </w:p>
    <w:p/>
    <w:p>
      <w:r>
        <w:rPr>
          <w:color w:val="2C3E50"/>
          <w:sz w:val="22"/>
        </w:rPr>
        <w:t>L'éditeur s'ouvre avec la configuration à gauche et, optionnellement, l'aperçu à droite.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diteur-template-vi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Éditeur de template — vue initiale</w:t>
      </w:r>
    </w:p>
    <w:p/>
    <w:p>
      <w:r>
        <w:rPr>
          <w:b/>
          <w:color w:val="2E86AB"/>
          <w:sz w:val="24"/>
        </w:rPr>
        <w:t>4.1  Informations générales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849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ction-inform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84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Section "Informations du template"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2E86AB"/>
          </w:tcPr>
          <w:p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type="dxa" w:w="1417"/>
            <w:shd w:val="clear" w:color="auto" w:fill="2E86AB"/>
          </w:tcPr>
          <w:p>
            <w:r>
              <w:rPr>
                <w:b/>
                <w:color w:val="FFFFFF"/>
                <w:sz w:val="20"/>
              </w:rPr>
              <w:t>Obligatoire</w:t>
            </w:r>
          </w:p>
        </w:tc>
        <w:tc>
          <w:tcPr>
            <w:tcW w:type="dxa" w:w="5386"/>
            <w:shd w:val="clear" w:color="auto" w:fill="2E86A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color w:val="2C3E50"/>
                <w:sz w:val="20"/>
              </w:rPr>
              <w:t>Nom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color w:val="2C3E50"/>
                <w:sz w:val="20"/>
              </w:rPr>
              <w:t>✅ Oui</w:t>
            </w:r>
          </w:p>
        </w:tc>
        <w:tc>
          <w:tcPr>
            <w:tcW w:type="dxa" w:w="5386"/>
            <w:shd w:val="clear" w:color="auto" w:fill="F8F9FA"/>
          </w:tcPr>
          <w:p>
            <w:r>
              <w:rPr>
                <w:color w:val="2C3E50"/>
                <w:sz w:val="20"/>
              </w:rPr>
              <w:t>Ex. : Bilan nutritionnel initial (200 car. max)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2C3E50"/>
                <w:sz w:val="20"/>
              </w:rPr>
              <w:t>Type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2C3E50"/>
                <w:sz w:val="20"/>
              </w:rPr>
              <w:t>Non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color w:val="2C3E50"/>
                <w:sz w:val="20"/>
              </w:rPr>
              <w:t>Catégorisation du template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color w:val="2C3E50"/>
                <w:sz w:val="20"/>
              </w:rPr>
              <w:t>Description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color w:val="2C3E50"/>
                <w:sz w:val="20"/>
              </w:rPr>
              <w:t>Non</w:t>
            </w:r>
          </w:p>
        </w:tc>
        <w:tc>
          <w:tcPr>
            <w:tcW w:type="dxa" w:w="5386"/>
            <w:shd w:val="clear" w:color="auto" w:fill="F8F9FA"/>
          </w:tcPr>
          <w:p>
            <w:r>
              <w:rPr>
                <w:color w:val="2C3E50"/>
                <w:sz w:val="20"/>
              </w:rPr>
              <w:t>Aide à choisir le bon template en consultation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2C3E50"/>
                <w:sz w:val="20"/>
              </w:rPr>
              <w:t>Visibilité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2C3E50"/>
                <w:sz w:val="20"/>
              </w:rPr>
              <w:t>Non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color w:val="2C3E50"/>
                <w:sz w:val="20"/>
              </w:rPr>
              <w:t>Privé = vous seul(e) · Partagé = toute l'équipe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color w:val="2C3E50"/>
                <w:sz w:val="20"/>
              </w:rPr>
              <w:t>Couleur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color w:val="2C3E50"/>
                <w:sz w:val="20"/>
              </w:rPr>
              <w:t>Non</w:t>
            </w:r>
          </w:p>
        </w:tc>
        <w:tc>
          <w:tcPr>
            <w:tcW w:type="dxa" w:w="5386"/>
            <w:shd w:val="clear" w:color="auto" w:fill="F8F9FA"/>
          </w:tcPr>
          <w:p>
            <w:r>
              <w:rPr>
                <w:color w:val="2C3E50"/>
                <w:sz w:val="20"/>
              </w:rPr>
              <w:t>Code couleur pour identifier le template visuellement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2C3E50"/>
                <w:sz w:val="20"/>
              </w:rPr>
              <w:t>Par défaut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2C3E50"/>
                <w:sz w:val="20"/>
              </w:rPr>
              <w:t>Non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color w:val="2C3E50"/>
                <w:sz w:val="20"/>
              </w:rPr>
              <w:t>Pré-sélectionné à chaque nouvelle consultation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color w:val="2C3E50"/>
                <w:sz w:val="20"/>
              </w:rPr>
              <w:t>Tags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color w:val="2C3E50"/>
                <w:sz w:val="20"/>
              </w:rPr>
              <w:t>Non</w:t>
            </w:r>
          </w:p>
        </w:tc>
        <w:tc>
          <w:tcPr>
            <w:tcW w:type="dxa" w:w="5386"/>
            <w:shd w:val="clear" w:color="auto" w:fill="F8F9FA"/>
          </w:tcPr>
          <w:p>
            <w:r>
              <w:rPr>
                <w:color w:val="2C3E50"/>
                <w:sz w:val="20"/>
              </w:rPr>
              <w:t>Mots-clés : adulte, diabète, grossesse, sport…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9E6"/>
            <w:tcBorders>
              <w:top w:val="single" w:sz="10" w:color="F7B731"/>
              <w:left w:val="single" w:sz="10" w:color="F7B731"/>
              <w:bottom w:val="single" w:sz="10" w:color="F7B731"/>
              <w:right w:val="single" w:sz="10" w:color="F7B731"/>
            </w:tcBorders>
          </w:tcPr>
          <w:p>
            <w:r>
              <w:rPr>
                <w:color w:val="2C3E50"/>
                <w:sz w:val="20"/>
              </w:rPr>
              <w:t>💡  Un seul template peut être "par défaut". En activer un nouveau désactive automatiquement l'ancien.</w:t>
            </w:r>
          </w:p>
        </w:tc>
      </w:tr>
    </w:tbl>
    <w:p/>
    <w:p>
      <w:r>
        <w:rPr>
          <w:b/>
          <w:color w:val="2E86AB"/>
          <w:sz w:val="24"/>
        </w:rPr>
        <w:t>4.2  Ajouter des éléments</w:t>
      </w:r>
    </w:p>
    <w:p>
      <w:r>
        <w:rPr>
          <w:color w:val="2C3E50"/>
          <w:sz w:val="22"/>
        </w:rPr>
        <w:t>Cliquez sur l'un des trois boutons pour ajouter un élément au template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9795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outons-ajout-ele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79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Boutons d'ajout d'éléments</w:t>
      </w:r>
    </w:p>
    <w:p/>
    <w:p>
      <w:pPr>
        <w:pStyle w:val="ListBullet"/>
        <w:ind w:left="283"/>
      </w:pPr>
      <w:r>
        <w:rPr>
          <w:color w:val="2C3E50"/>
          <w:sz w:val="22"/>
        </w:rPr>
        <w:t>[ + Catégorie ] — catégorie de champs personnalisés</w:t>
      </w:r>
    </w:p>
    <w:p>
      <w:pPr>
        <w:pStyle w:val="ListBullet"/>
        <w:ind w:left="283"/>
      </w:pPr>
      <w:r>
        <w:rPr>
          <w:color w:val="2C3E50"/>
          <w:sz w:val="22"/>
        </w:rPr>
        <w:t>[ + Mesure ] — mesure clinique (poids, IMC, tension…)</w:t>
      </w:r>
    </w:p>
    <w:p>
      <w:pPr>
        <w:pStyle w:val="ListBullet"/>
        <w:ind w:left="283"/>
      </w:pPr>
      <w:r>
        <w:rPr>
          <w:color w:val="2C3E50"/>
          <w:sz w:val="22"/>
        </w:rPr>
        <w:t>[ + Instruction ] — bloc de texte de guidage avec zone de notes libres</w:t>
      </w:r>
    </w:p>
    <w:p>
      <w:r>
        <w:rPr>
          <w:color w:val="2C3E50"/>
          <w:sz w:val="22"/>
        </w:rPr>
        <w:t>Réorganisez les éléments avec les flèches ▲ ▼ ou par glisser-déposer.</w:t>
      </w:r>
    </w:p>
    <w:p/>
    <w:p>
      <w:r>
        <w:rPr>
          <w:b/>
          <w:color w:val="2E86AB"/>
          <w:sz w:val="24"/>
        </w:rPr>
        <w:t>4.3  Catégorie de champs personnalisés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odal-categori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Modal de sélection d'une catégorie</w:t>
      </w:r>
    </w:p>
    <w:p/>
    <w:p>
      <w:r>
        <w:rPr>
          <w:color w:val="2C3E50"/>
          <w:sz w:val="22"/>
        </w:rPr>
        <w:t>Chaque catégorie affiche son nom, sa description, le nombre de champs inclus et son niveau :</w:t>
      </w:r>
    </w:p>
    <w:p>
      <w:pPr>
        <w:pStyle w:val="ListBullet"/>
        <w:ind w:left="283"/>
      </w:pPr>
      <w:r>
        <w:rPr>
          <w:color w:val="2C3E50"/>
          <w:sz w:val="22"/>
        </w:rPr>
        <w:t>🔵 Patient — données partagées entre toutes les consultations (ex. : antécédents médicaux)</w:t>
      </w:r>
    </w:p>
    <w:p>
      <w:pPr>
        <w:pStyle w:val="ListBullet"/>
        <w:ind w:left="283"/>
      </w:pPr>
      <w:r>
        <w:rPr>
          <w:color w:val="2C3E50"/>
          <w:sz w:val="22"/>
        </w:rPr>
        <w:t>🟠 Par consultation — données spécifiques à cette séance (ex. : évaluation du jour)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9E6"/>
            <w:tcBorders>
              <w:top w:val="single" w:sz="10" w:color="F7B731"/>
              <w:left w:val="single" w:sz="10" w:color="F7B731"/>
              <w:bottom w:val="single" w:sz="10" w:color="F7B731"/>
              <w:right w:val="single" w:sz="10" w:color="F7B731"/>
            </w:tcBorders>
          </w:tcPr>
          <w:p>
            <w:r>
              <w:rPr>
                <w:color w:val="2C3E50"/>
                <w:sz w:val="20"/>
              </w:rPr>
              <w:t>💡  Les champs "Patient" s'affichent dans toutes les consultations sans re-saisie. Les champs "Par consultation" concernent uniquement la séance en cours.</w:t>
            </w:r>
          </w:p>
        </w:tc>
      </w:tr>
    </w:tbl>
    <w:p/>
    <w:p>
      <w:r>
        <w:rPr>
          <w:b/>
          <w:color w:val="2E86AB"/>
          <w:sz w:val="24"/>
        </w:rPr>
        <w:t>4.4  Mesure clinique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odal-mes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Modal de sélection d'une mesure clinique</w:t>
      </w:r>
    </w:p>
    <w:p/>
    <w:p>
      <w:r>
        <w:rPr>
          <w:b/>
          <w:color w:val="2E86AB"/>
          <w:sz w:val="24"/>
        </w:rPr>
        <w:t>4.5  Instruction</w:t>
      </w:r>
    </w:p>
    <w:p>
      <w:r>
        <w:rPr>
          <w:color w:val="2C3E50"/>
          <w:sz w:val="22"/>
        </w:rPr>
        <w:t>Une instruction est un texte que vous rédigez à l'avance pour vous guider. Elle s'affiche en encadré jaune lors de la consultation. Vous rédigez le titre et le contenu dans l'éditeur.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9E6"/>
            <w:tcBorders>
              <w:top w:val="single" w:sz="10" w:color="F7B731"/>
              <w:left w:val="single" w:sz="10" w:color="F7B731"/>
              <w:bottom w:val="single" w:sz="10" w:color="F7B731"/>
              <w:right w:val="single" w:sz="10" w:color="F7B731"/>
            </w:tcBorders>
          </w:tcPr>
          <w:p>
            <w:r>
              <w:rPr>
                <w:color w:val="2C3E50"/>
                <w:sz w:val="20"/>
              </w:rPr>
              <w:t>💡  Usage typique : liste de questions à poser au patient, rappel de protocole, check-list d'éléments à évaluer.</w:t>
            </w:r>
          </w:p>
        </w:tc>
      </w:tr>
    </w:tbl>
    <w:p/>
    <w:p>
      <w:r>
        <w:rPr>
          <w:b/>
          <w:color w:val="2E86AB"/>
          <w:sz w:val="24"/>
        </w:rPr>
        <w:t>4.6  Aperçu et sauvegarde</w:t>
      </w:r>
    </w:p>
    <w:p>
      <w:r>
        <w:rPr>
          <w:color w:val="2C3E50"/>
          <w:sz w:val="22"/>
        </w:rPr>
        <w:t>Utilisez le bouton "Aperçu" pour voir le rendu exact du template avant de le sauvegarder.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diteur-template-rempl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Éditeur de template avec éléments configurés</w:t>
      </w:r>
    </w:p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7"/>
            <w:shd w:val="clear" w:color="auto" w:fill="2E86AB"/>
          </w:tcPr>
          <w:p>
            <w:r>
              <w:t xml:space="preserve"> </w:t>
            </w:r>
          </w:p>
        </w:tc>
        <w:tc>
          <w:tcPr>
            <w:tcW w:type="dxa" w:w="4533"/>
            <w:shd w:val="clear" w:color="auto" w:fill="ECF3F9"/>
          </w:tcPr>
          <w:p>
            <w:r>
              <w:rPr>
                <w:b/>
                <w:color w:val="2E86AB"/>
                <w:sz w:val="30"/>
              </w:rPr>
              <w:t xml:space="preserve">5  </w:t>
            </w:r>
            <w:r>
              <w:rPr>
                <w:b/>
                <w:color w:val="2C3E50"/>
                <w:sz w:val="30"/>
              </w:rPr>
              <w:t>Utiliser un template en consultation</w:t>
            </w:r>
          </w:p>
        </w:tc>
      </w:tr>
    </w:tbl>
    <w:p/>
    <w:p>
      <w:r>
        <w:rPr>
          <w:b/>
          <w:color w:val="2E86AB"/>
          <w:sz w:val="24"/>
        </w:rPr>
        <w:t>5.1  Démarrer une consultation</w:t>
      </w:r>
    </w:p>
    <w:p>
      <w:r>
        <w:rPr>
          <w:color w:val="2C3E50"/>
          <w:sz w:val="22"/>
        </w:rPr>
        <w:t>Ouvrez la fiche du patient, cliquez sur la visite concernée, puis sur "Démarrer la consultation".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etail-visi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Page de détail d'une visite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5111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bouton-demarrer-consult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Bouton "Démarrer la consultation"</w:t>
      </w:r>
    </w:p>
    <w:p/>
    <w:p>
      <w:r>
        <w:rPr>
          <w:color w:val="2C3E50"/>
          <w:sz w:val="22"/>
        </w:rPr>
        <w:t>Une fenêtre s'ouvre pour sélectionner le template à utiliser.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odal-selection-templ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Modal de sélection du template</w:t>
      </w:r>
    </w:p>
    <w:p/>
    <w:p>
      <w:r>
        <w:br w:type="page"/>
      </w:r>
    </w:p>
    <w:p>
      <w:r>
        <w:rPr>
          <w:b/>
          <w:color w:val="2E86AB"/>
          <w:sz w:val="24"/>
        </w:rPr>
        <w:t>5.2  Remplir la note de consultation</w:t>
      </w:r>
    </w:p>
    <w:p>
      <w:r>
        <w:rPr>
          <w:color w:val="2C3E50"/>
          <w:sz w:val="22"/>
        </w:rPr>
        <w:t>NutriVault crée automatiquement la note et vous redirige vers l'éditeur. Les éléments du template s'affichent dans l'ordre configuré.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editeur-note-vue-ensemb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Éditeur de note de consultation — vue d'ensemble</w:t>
      </w:r>
    </w:p>
    <w:p/>
    <w:p>
      <w:r>
        <w:rPr>
          <w:color w:val="2C3E50"/>
          <w:sz w:val="22"/>
        </w:rPr>
        <w:t>Pour chaque catégorie de champs : remplissez les champs normalement (texte, liste déroulante, case à cocher…)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45120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arte-categorie-no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512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Carte catégorie avec champs à remplir</w:t>
      </w:r>
    </w:p>
    <w:p/>
    <w:p>
      <w:r>
        <w:rPr>
          <w:color w:val="2C3E50"/>
          <w:sz w:val="22"/>
        </w:rPr>
        <w:t>La zone de résumé en bas de page permet de saisir une synthèse globale de la consultation.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zone-resum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Zone de résumé global en bas de page</w:t>
      </w:r>
    </w:p>
    <w:p/>
    <w:p>
      <w:r>
        <w:rPr>
          <w:b/>
          <w:color w:val="2E86AB"/>
          <w:sz w:val="24"/>
        </w:rPr>
        <w:t>5.3  Enregistrement automatique</w:t>
      </w:r>
    </w:p>
    <w:p>
      <w:r>
        <w:rPr>
          <w:color w:val="2C3E50"/>
          <w:sz w:val="22"/>
        </w:rPr>
        <w:t>Vos notes sont sauvegardées automatiquement 3 secondes après chaque modification. L'en-tête affiche le statut en temps réel.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203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entete-autosav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En-tête de la note avec indicateurs d'état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b-autosave-sav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Sauvegarde en cours (spinner)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c-autosave-sav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Sauvegarde confirmée (vert)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0E6"/>
            <w:tcBorders>
              <w:top w:val="single" w:sz="10" w:color="F7B731"/>
              <w:left w:val="single" w:sz="10" w:color="F7B731"/>
              <w:bottom w:val="single" w:sz="10" w:color="F7B731"/>
              <w:right w:val="single" w:sz="10" w:color="F7B731"/>
            </w:tcBorders>
          </w:tcPr>
          <w:p>
            <w:r>
              <w:rPr>
                <w:color w:val="2C3E50"/>
                <w:sz w:val="20"/>
              </w:rPr>
              <w:t>⚠️  Ne fermez pas l'onglet si l'indicateur "Sauvegarde en cours" est visible. Le bouton "Enregistrer" permet aussi une sauvegarde manuelle à tout moment.</w:t>
            </w:r>
          </w:p>
        </w:tc>
      </w:tr>
    </w:tbl>
    <w:p/>
    <w:p>
      <w:r>
        <w:rPr>
          <w:b/>
          <w:color w:val="2E86AB"/>
          <w:sz w:val="24"/>
        </w:rPr>
        <w:t>5.4  Finaliser et facturer</w:t>
      </w:r>
    </w:p>
    <w:p>
      <w:r>
        <w:rPr>
          <w:color w:val="2C3E50"/>
          <w:sz w:val="22"/>
        </w:rPr>
        <w:t>Cliquez sur "Terminer &amp; Facturer" quand la consultation est terminée.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140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bouton-termin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1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Bouton "Terminer &amp; Facturer"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modal-terminer-factur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Modal de finalisation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969"/>
            <w:shd w:val="clear" w:color="auto" w:fill="2E86AB"/>
          </w:tcPr>
          <w:p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5102"/>
            <w:shd w:val="clear" w:color="auto" w:fill="2E86A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r>
              <w:rPr>
                <w:color w:val="2C3E50"/>
                <w:sz w:val="20"/>
              </w:rPr>
              <w:t>✅ Marquer la visite comme TERMINÉE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color w:val="2C3E50"/>
                <w:sz w:val="20"/>
              </w:rPr>
              <w:t>Change le statut de la visite dans NutriVault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2C3E50"/>
                <w:sz w:val="20"/>
              </w:rPr>
              <w:t>✅ Générer automatiquement une facture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2C3E50"/>
                <w:sz w:val="20"/>
              </w:rPr>
              <w:t>Crée une facture associée à cette visite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r>
              <w:rPr>
                <w:color w:val="2C3E50"/>
                <w:sz w:val="20"/>
              </w:rPr>
              <w:t>☐ Envoyer la facture par email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color w:val="2C3E50"/>
                <w:sz w:val="20"/>
              </w:rPr>
              <w:t>Envoie la facture au patient (si email renseigné)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0E6"/>
            <w:tcBorders>
              <w:top w:val="single" w:sz="10" w:color="F7B731"/>
              <w:left w:val="single" w:sz="10" w:color="F7B731"/>
              <w:bottom w:val="single" w:sz="10" w:color="F7B731"/>
              <w:right w:val="single" w:sz="10" w:color="F7B731"/>
            </w:tcBorders>
          </w:tcPr>
          <w:p>
            <w:r>
              <w:rPr>
                <w:color w:val="2C3E50"/>
                <w:sz w:val="20"/>
              </w:rPr>
              <w:t>⚠️  Une fois confirmée, la note passe en statut "Complétée" et ne peut plus être modifiée.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7"/>
            <w:shd w:val="clear" w:color="auto" w:fill="2E86AB"/>
          </w:tcPr>
          <w:p>
            <w:r>
              <w:t xml:space="preserve"> </w:t>
            </w:r>
          </w:p>
        </w:tc>
        <w:tc>
          <w:tcPr>
            <w:tcW w:type="dxa" w:w="4533"/>
            <w:shd w:val="clear" w:color="auto" w:fill="ECF3F9"/>
          </w:tcPr>
          <w:p>
            <w:r>
              <w:rPr>
                <w:b/>
                <w:color w:val="2E86AB"/>
                <w:sz w:val="30"/>
              </w:rPr>
              <w:t xml:space="preserve">6  </w:t>
            </w:r>
            <w:r>
              <w:rPr>
                <w:b/>
                <w:color w:val="2C3E50"/>
                <w:sz w:val="30"/>
              </w:rPr>
              <w:t>Gérer ses templates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liste-templates-action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↑ Liste des templates avec boutons d'action</w:t>
      </w:r>
    </w:p>
    <w:p/>
    <w:p>
      <w:r>
        <w:rPr>
          <w:color w:val="2C3E50"/>
          <w:sz w:val="22"/>
        </w:rPr>
        <w:t>Pour chaque template, trois actions sont disponibles :</w:t>
      </w:r>
    </w:p>
    <w:p>
      <w:pPr>
        <w:pStyle w:val="ListBullet"/>
        <w:ind w:left="283"/>
      </w:pPr>
      <w:r>
        <w:rPr>
          <w:color w:val="2C3E50"/>
          <w:sz w:val="22"/>
        </w:rPr>
        <w:t>Modifier (icône crayon) — ouvre l'éditeur avec la configuration actuelle</w:t>
      </w:r>
    </w:p>
    <w:p>
      <w:pPr>
        <w:pStyle w:val="ListBullet"/>
        <w:ind w:left="283"/>
      </w:pPr>
      <w:r>
        <w:rPr>
          <w:color w:val="2C3E50"/>
          <w:sz w:val="22"/>
        </w:rPr>
        <w:t>Dupliquer — crée une copie identique avec le suffixe (Copie)</w:t>
      </w:r>
    </w:p>
    <w:p>
      <w:pPr>
        <w:pStyle w:val="ListBullet"/>
        <w:ind w:left="283"/>
      </w:pPr>
      <w:r>
        <w:rPr>
          <w:color w:val="2C3E50"/>
          <w:sz w:val="22"/>
        </w:rPr>
        <w:t>Supprimer — désactive le template si des notes ont déjà été créées avec lui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0E6"/>
            <w:tcBorders>
              <w:top w:val="single" w:sz="10" w:color="F7B731"/>
              <w:left w:val="single" w:sz="10" w:color="F7B731"/>
              <w:bottom w:val="single" w:sz="10" w:color="F7B731"/>
              <w:right w:val="single" w:sz="10" w:color="F7B731"/>
            </w:tcBorders>
          </w:tcPr>
          <w:p>
            <w:r>
              <w:rPr>
                <w:color w:val="2C3E50"/>
                <w:sz w:val="20"/>
              </w:rPr>
              <w:t>⚠️  Modifier un template ne modifie PAS les notes déjà créées. Seules les nouvelles consultations bénéficieront des changements.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7"/>
            <w:shd w:val="clear" w:color="auto" w:fill="2E86AB"/>
          </w:tcPr>
          <w:p>
            <w:r>
              <w:t xml:space="preserve"> </w:t>
            </w:r>
          </w:p>
        </w:tc>
        <w:tc>
          <w:tcPr>
            <w:tcW w:type="dxa" w:w="4533"/>
            <w:shd w:val="clear" w:color="auto" w:fill="ECF3F9"/>
          </w:tcPr>
          <w:p>
            <w:r>
              <w:rPr>
                <w:b/>
                <w:color w:val="2E86AB"/>
                <w:sz w:val="30"/>
              </w:rPr>
              <w:t xml:space="preserve">7  </w:t>
            </w:r>
            <w:r>
              <w:rPr>
                <w:b/>
                <w:color w:val="2C3E50"/>
                <w:sz w:val="30"/>
              </w:rPr>
              <w:t>Bonnes pratiques</w:t>
            </w:r>
          </w:p>
        </w:tc>
      </w:tr>
    </w:tbl>
    <w:p/>
    <w:p>
      <w:r>
        <w:rPr>
          <w:b/>
          <w:color w:val="2E86AB"/>
          <w:sz w:val="24"/>
        </w:rPr>
        <w:t>Organisez par type de consultation</w:t>
      </w:r>
    </w:p>
    <w:p>
      <w:pPr>
        <w:pStyle w:val="ListBullet"/>
        <w:ind w:left="283"/>
      </w:pPr>
      <w:r>
        <w:rPr>
          <w:color w:val="2C3E50"/>
          <w:sz w:val="22"/>
        </w:rPr>
        <w:t>"Bilan initial adulte" → type Anamnèse</w:t>
      </w:r>
    </w:p>
    <w:p>
      <w:pPr>
        <w:pStyle w:val="ListBullet"/>
        <w:ind w:left="283"/>
      </w:pPr>
      <w:r>
        <w:rPr>
          <w:color w:val="2C3E50"/>
          <w:sz w:val="22"/>
        </w:rPr>
        <w:t>"Suivi mensuel" → type Suivi</w:t>
      </w:r>
    </w:p>
    <w:p>
      <w:pPr>
        <w:pStyle w:val="ListBullet"/>
        <w:ind w:left="283"/>
      </w:pPr>
      <w:r>
        <w:rPr>
          <w:color w:val="2C3E50"/>
          <w:sz w:val="22"/>
        </w:rPr>
        <w:t>"Consultation diabète" → type Évaluation</w:t>
      </w:r>
    </w:p>
    <w:p/>
    <w:p>
      <w:r>
        <w:rPr>
          <w:b/>
          <w:color w:val="2E86AB"/>
          <w:sz w:val="24"/>
        </w:rPr>
        <w:t>Utilisez les tags</w:t>
      </w:r>
    </w:p>
    <w:p>
      <w:r>
        <w:rPr>
          <w:color w:val="2C3E50"/>
          <w:sz w:val="22"/>
        </w:rPr>
        <w:t>Ajoutez des tags pour retrouver facilement vos templates : adulte, enfant, diabète, grossesse, sport…</w:t>
      </w:r>
    </w:p>
    <w:p/>
    <w:p>
      <w:r>
        <w:rPr>
          <w:b/>
          <w:color w:val="2E86AB"/>
          <w:sz w:val="24"/>
        </w:rPr>
        <w:t>Définissez un template par défaut</w:t>
      </w:r>
    </w:p>
    <w:p>
      <w:r>
        <w:rPr>
          <w:color w:val="2C3E50"/>
          <w:sz w:val="22"/>
        </w:rPr>
        <w:t>Si vous avez un type de consultation récurrent, marquez-le comme "Par défaut" — il sera pré-sélectionné automatiquement.</w:t>
      </w:r>
    </w:p>
    <w:p/>
    <w:p>
      <w:r>
        <w:rPr>
          <w:b/>
          <w:color w:val="2E86AB"/>
          <w:sz w:val="24"/>
        </w:rPr>
        <w:t>Partagez avec votre équipe</w:t>
      </w:r>
    </w:p>
    <w:p>
      <w:r>
        <w:rPr>
          <w:color w:val="2C3E50"/>
          <w:sz w:val="22"/>
        </w:rPr>
        <w:t>En cabinet collectif, passez vos templates en "Partagé" — toute l'équipe peut les utiliser.</w:t>
      </w:r>
    </w:p>
    <w:p/>
    <w:p>
      <w:r>
        <w:rPr>
          <w:b/>
          <w:color w:val="2E86AB"/>
          <w:sz w:val="24"/>
        </w:rPr>
        <w:t>Instructions comme aide-mémoire</w:t>
      </w:r>
    </w:p>
    <w:p>
      <w:r>
        <w:rPr>
          <w:color w:val="2C3E50"/>
          <w:sz w:val="22"/>
        </w:rPr>
        <w:t>Rédigez des instructions détaillées pour vos protocoles : questions à poser, éléments à évaluer, grilles de scoring. Vos notes libres documenteront les réponses du patient directement en regard du protocole.</w:t>
      </w:r>
    </w:p>
    <w:sectPr w:rsidR="00FC693F" w:rsidRPr="0006063C" w:rsidSect="00034616">
      <w:footerReference w:type="default" r:id="rId3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8C8D"/>
        <w:sz w:val="16"/>
      </w:rPr>
      <w:t>NutriVault · Guide Templates de notes de consultation · v8.7.16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