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 w:eastAsia="微软雅黑" w:cs="微软雅黑" w:hint="eastAsia"/>
          <w:b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color w:val="1F1F1F"/>
          <w:sz w:val="21"/>
          <w:szCs w:val="21"/>
        </w:rPr>
        <w:t>AvanRA</w:t>
      </w:r>
      <w:r>
        <w:rPr>
          <w:rFonts w:eastAsia="微软雅黑" w:cs="微软雅黑" w:hint="eastAsia" w:ascii="Google Sans Text;sans-serif" w:hAnsi="Google Sans Text;sans-serif"/>
          <w:b/>
          <w:color w:val="1F1F1F"/>
          <w:sz w:val="21"/>
          <w:szCs w:val="21"/>
        </w:rPr>
        <w:t>-600-A Latent Lift AGV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Inertial &amp; QR Code Navigation &amp; 600kg Load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 w:eastAsia="微软雅黑" w:cs="微软雅黑" w:hint="eastAsia"/>
          <w:b/>
          <w:color w:val="1F1F1F"/>
          <w:sz w:val="21"/>
          <w:szCs w:val="21"/>
        </w:rPr>
      </w:pPr>
      <w:r>
        <w:rPr>
          <w:rFonts w:eastAsia="微软雅黑" w:cs="微软雅黑" w:hint="eastAsia" w:ascii="Google Sans Text;sans-serif" w:hAnsi="Google Sans Text;sans-serif"/>
          <w:b/>
          <w:color w:val="1F1F1F"/>
          <w:sz w:val="21"/>
          <w:szCs w:val="21"/>
        </w:rPr>
        <w:t>Product Features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 xml:space="preserve">The </w:t>
      </w: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AvanRA</w:t>
      </w: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-600-A Latent Lift AGV body design is compatible with QR code and LSLAM navigation for handling operations. Its navigation accuracy can reach ±10mm. Secondary calibration positioning can reach ±5mm.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It has a load capacity of 600kg. The battery capacity is 30Ah. It can operate continuously for 12 hours under comprehensive working conditions.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The product operates stably and efficiently with a lifting stroke of 60mm. The lifting time is ≤3s. The maximum running speed without a load can reach 2.0m/s.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Intelligent power management: It features preset multi-level power thresholds and will autonomously charge when the power drops below the threshold.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The obstacle avoidance radar has a maximum detection distance of 4m. It can be configured for three-level detection. The horizontal obstacle avoidance angle is 180°.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It includes left and right emergency stop buttons. It features a front and rear collision alarm design. It comes equipped with multiple safety protections.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 w:eastAsia="微软雅黑" w:cs="微软雅黑" w:hint="eastAsia"/>
          <w:b/>
          <w:bCs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bCs/>
          <w:color w:val="1F1F1F"/>
        </w:rPr>
        <w:t>It utilizes an embedded charging interface design. It is compatible with both manual and automatic charging. It provides higher reliability and safety.</w:t>
      </w:r>
    </w:p>
    <w:p>
      <w:pPr>
        <w:pStyle w:val="Heading3"/>
        <w:keepNext w:val="false"/>
        <w:pageBreakBefore w:val="false"/>
        <w:widowControl/>
        <w:numPr>
          <w:ilvl w:val="0"/>
          <w:numId w:val="0"/>
        </w:numPr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 w:eastAsia="微软雅黑" w:cs="微软雅黑" w:hint="eastAsia"/>
          <w:b/>
          <w:color w:val="1F1F1F"/>
        </w:rPr>
      </w:pPr>
      <w:r>
        <w:rPr>
          <w:rFonts w:eastAsia="微软雅黑" w:cs="微软雅黑" w:hint="eastAsia" w:ascii="Google Sans Text;sans-serif" w:hAnsi="Google Sans Text;sans-serif"/>
          <w:b/>
          <w:color w:val="1F1F1F"/>
          <w:sz w:val="21"/>
          <w:szCs w:val="21"/>
        </w:rPr>
        <w:t>Equipment Dimensions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 w:eastAsia="微软雅黑" w:cs="微软雅黑" w:hint="eastAsia"/>
          <w:b/>
          <w:color w:val="1F1F1F"/>
          <w:sz w:val="21"/>
          <w:szCs w:val="21"/>
        </w:rPr>
      </w:pPr>
      <w:r>
        <w:rPr>
          <w:rFonts w:eastAsia="微软雅黑" w:cs="微软雅黑" w:hint="eastAsia" w:ascii="Google Sans Text;sans-serif" w:hAnsi="Google Sans Text;sans-serif"/>
          <w:b/>
          <w:color w:val="1F1F1F"/>
          <w:sz w:val="21"/>
          <w:szCs w:val="21"/>
        </w:rPr>
        <w:t>Specifications</w:t>
      </w:r>
    </w:p>
    <w:tbl>
      <w:tblPr>
        <w:tblW w:w="1050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2386"/>
        <w:gridCol w:w="3012"/>
        <w:gridCol w:w="5102"/>
      </w:tblGrid>
      <w:tr>
        <w:trPr>
          <w:tblHeader w:val="true"/>
        </w:trPr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Technical Category</w:t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Item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Technical Parameters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Basic Parameters</w:t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Model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AvanRA</w:t>
            </w:r>
            <w:r>
              <w:rPr>
                <w:rFonts w:ascii="Google Sans Text;sans-serif" w:hAnsi="Google Sans Text;sans-serif"/>
                <w:color w:val="1F1F1F"/>
              </w:rPr>
              <w:t>-600-A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Name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Latent Lift AGV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Self-weight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140kg (±5kg)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Load weight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600kg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L x W x H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954(L) * 702(W) * 250(H) mm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Navigation method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QR code navigation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Lifting stroke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60mm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Running acceleration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>≤</w:t>
            </w:r>
            <w:r>
              <w:rPr>
                <w:rFonts w:ascii="Google Sans Text;sans-serif" w:hAnsi="Google Sans Text;sans-serif"/>
                <w:color w:val="1F1F1F"/>
              </w:rPr>
              <w:t>1.0m/s²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Performance Parameters</w:t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Drive method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Servo motor, differential wheel drive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Positioning accuracy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±10mm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Maximum running speed (No-load)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2.0m/s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Running speed (Full load)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1.0m/s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Charging method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Automatic charging, offline charging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Endurance time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color w:val="1F1F1F"/>
              </w:rPr>
            </w:pPr>
            <w:r>
              <w:rPr>
                <w:color w:val="1F1F1F"/>
              </w:rPr>
              <w:t xml:space="preserve">≥ </w:t>
            </w:r>
            <w:r>
              <w:rPr>
                <w:rFonts w:ascii="Google Sans Text;sans-serif" w:hAnsi="Google Sans Text;sans-serif"/>
                <w:color w:val="1F1F1F"/>
              </w:rPr>
              <w:t>10H (20%~95%)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Battery Parameters</w:t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Battery type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Lithium iron phosphate (LiFePO4) 48Vdc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Battery capacity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30Ah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Charging time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1.5-2H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Battery life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1500 cycles, capacity ≥80%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Safety Protection</w:t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Obstacle avoidance method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Front obstacle avoidance radar, front and rear collision alarms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Sound and light alarm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Supported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Emergency stop switch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Supported, one each at the front and rear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Communication method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Wi-Fi (2.4GHz &amp; 5GHz)</w:t>
            </w:r>
          </w:p>
        </w:tc>
      </w:tr>
      <w:tr>
        <w:trPr/>
        <w:tc>
          <w:tcPr>
            <w:tcW w:w="238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Scheduling interface</w:t>
            </w:r>
          </w:p>
        </w:tc>
        <w:tc>
          <w:tcPr>
            <w:tcW w:w="5102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Customizable, provides native protocol</w:t>
            </w:r>
          </w:p>
        </w:tc>
      </w:tr>
    </w:tbl>
    <w:p>
      <w:pPr>
        <w:pStyle w:val="BodyText"/>
        <w:bidi w:val="0"/>
        <w:spacing w:before="0" w:after="0"/>
        <w:jc w:val="start"/>
        <w:rPr>
          <w:rFonts w:ascii="微软雅黑" w:hAnsi="微软雅黑" w:eastAsia="微软雅黑" w:cs="微软雅黑" w:hint="eastAsia"/>
          <w:b/>
          <w:bCs/>
          <w:color w:val="00B0F0"/>
        </w:rPr>
      </w:pPr>
      <w:r>
        <w:rPr>
          <w:rFonts w:eastAsia="微软雅黑" w:cs="微软雅黑" w:hint="eastAsia" w:ascii="微软雅黑" w:hAnsi="微软雅黑"/>
          <w:b/>
          <w:bCs/>
          <w:color w:val="00B0F0"/>
        </w:rPr>
      </w:r>
    </w:p>
    <w:p>
      <w:pPr>
        <w:pStyle w:val="Normal"/>
        <w:bidi w:val="0"/>
        <w:ind w:start="840"/>
        <w:jc w:val="start"/>
        <w:rPr>
          <w:rFonts w:ascii="微软雅黑" w:hAnsi="微软雅黑" w:eastAsia="微软雅黑" w:cs="微软雅黑" w:hint="eastAsia"/>
          <w:sz w:val="24"/>
          <w:szCs w:val="24"/>
        </w:rPr>
      </w:pPr>
      <w:r>
        <w:rPr>
          <w:rFonts w:eastAsia="微软雅黑" w:cs="微软雅黑" w:hint="eastAsia" w:ascii="微软雅黑" w:hAnsi="微软雅黑"/>
          <w:b/>
          <w:bCs/>
          <w:color w:val="00B0F0"/>
        </w:rPr>
        <w:t> 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微软雅黑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Arial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SC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2</Pages>
  <Words>333</Words>
  <Characters>1930</Characters>
  <CharactersWithSpaces>2191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2026-05-25T16:45:43Z</dcterms:created>
  <dc:creator/>
  <dc:description/>
  <dc:language>en-US</dc:language>
  <cp:lastModifiedBy/>
  <dcterms:modified xsi:type="dcterms:W3CDTF">2026-05-25T16:49:18Z</dcterms:modified>
  <cp:revision>2</cp:revision>
  <dc:subject/>
  <dc:title/>
</cp:coreProperties>
</file>