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595959"/>
          <w:sz w:val="19"/>
        </w:rPr>
        <w:t>ERGEBNISSE · BEIDE PHASEN</w:t>
      </w:r>
    </w:p>
    <w:p>
      <w:pPr>
        <w:spacing w:after="40"/>
      </w:pPr>
      <w:r>
        <w:rPr>
          <w:b/>
          <w:color w:val="1F4E79"/>
          <w:sz w:val="40"/>
        </w:rPr>
        <w:t>Sammeln und Reflektieren</w:t>
      </w:r>
    </w:p>
    <w:p>
      <w:pPr>
        <w:spacing w:after="200"/>
      </w:pPr>
      <w:r>
        <w:rPr>
          <w:i/>
          <w:color w:val="595959"/>
          <w:sz w:val="23"/>
        </w:rPr>
        <w:t>Ein toolneutrales Raster für Edumaps, Padlet oder jedes andere Board</w:t>
      </w:r>
    </w:p>
    <w:p>
      <w:pPr>
        <w:spacing w:after="160"/>
        <w:pBdr>
          <w:bottom w:val="single" w:sz="12" w:space="1" w:color="1F4E79"/>
        </w:pBdr>
      </w:pPr>
    </w:p>
    <w:p>
      <w:pPr>
        <w:pStyle w:val="Heading1"/>
      </w:pPr>
      <w:r>
        <w:t>So nutzt ihr das Raster</w:t>
      </w:r>
    </w:p>
    <w:p>
      <w:pPr>
        <w:spacing w:after="120"/>
      </w:pPr>
      <w:r>
        <w:rPr>
          <w:b w:val="0"/>
          <w:i w:val="0"/>
        </w:rPr>
        <w:t>Legt vor dem Tag ein Board an, egal ob Edumaps, Padlet oder ein geteiltes Dokument. Für jede Gruppe eine Karte mit den Feldern unten. Ausgefüllt wird von den Gruppen selbst. Das spart euch die Abschrift und macht die Ergebnisschau in fünf Minuten möglich.</w:t>
      </w:r>
    </w:p>
    <w:p>
      <w:pPr>
        <w:pStyle w:val="Heading1"/>
      </w:pPr>
      <w:r>
        <w:t>Vormittag: was jede Gruppe einträgt</w:t>
      </w:r>
    </w:p>
    <w:tbl>
      <w:tblPr>
        <w:tblStyle w:val="LightGrid-Accent1"/>
        <w:tblW w:type="auto" w:w="0"/>
        <w:tblLook w:firstColumn="1" w:firstRow="1" w:lastColumn="0" w:lastRow="0" w:noHBand="0" w:noVBand="1" w:val="04A0"/>
      </w:tblPr>
      <w:tblGrid>
        <w:gridCol w:w="4320"/>
        <w:gridCol w:w="4320"/>
      </w:tblGrid>
      <w:tr>
        <w:tc>
          <w:tcPr>
            <w:tcW w:type="dxa" w:w="2835"/>
          </w:tcPr>
          <w:p>
            <w:r>
              <w:rPr>
                <w:b/>
              </w:rPr>
              <w:t>Fach, Jahrgang, Thema</w:t>
            </w:r>
          </w:p>
        </w:tc>
        <w:tc>
          <w:tcPr>
            <w:tcW w:type="dxa" w:w="5953"/>
          </w:tcPr>
          <w:p>
            <w:r>
              <w:t>z. B. Deutsch, Klasse 9, Argumentation überarbeiten</w:t>
            </w:r>
          </w:p>
        </w:tc>
      </w:tr>
      <w:tr>
        <w:tc>
          <w:tcPr>
            <w:tcW w:type="dxa" w:w="2835"/>
          </w:tcPr>
          <w:p>
            <w:r>
              <w:rPr>
                <w:b/>
              </w:rPr>
              <w:t>Wortlaut des System-Prompts</w:t>
            </w:r>
          </w:p>
        </w:tc>
        <w:tc>
          <w:tcPr>
            <w:tcW w:type="dxa" w:w="5953"/>
          </w:tcPr>
          <w:p>
            <w:r>
              <w:t>der komplette Text, den der Bot befolgt</w:t>
            </w:r>
          </w:p>
        </w:tc>
      </w:tr>
      <w:tr>
        <w:tc>
          <w:tcPr>
            <w:tcW w:type="dxa" w:w="2835"/>
          </w:tcPr>
          <w:p>
            <w:r>
              <w:rPr>
                <w:b/>
              </w:rPr>
              <w:t>Eingabeweg der Lernenden</w:t>
            </w:r>
          </w:p>
        </w:tc>
        <w:tc>
          <w:tcPr>
            <w:tcW w:type="dxa" w:w="5953"/>
          </w:tcPr>
          <w:p>
            <w:r>
              <w:t>getippt oder diktiert</w:t>
            </w:r>
          </w:p>
        </w:tc>
      </w:tr>
      <w:tr>
        <w:tc>
          <w:tcPr>
            <w:tcW w:type="dxa" w:w="2835"/>
          </w:tcPr>
          <w:p>
            <w:r>
              <w:rPr>
                <w:b/>
              </w:rPr>
              <w:t>Realistisch umsetzbar?</w:t>
            </w:r>
          </w:p>
        </w:tc>
        <w:tc>
          <w:tcPr>
            <w:tcW w:type="dxa" w:w="5953"/>
          </w:tcPr>
          <w:p>
            <w:r>
              <w:t>kurze, ehrliche Einschätzung mit einem Satz Begründung</w:t>
            </w:r>
          </w:p>
        </w:tc>
      </w:tr>
    </w:tbl>
    <w:p/>
    <w:p>
      <w:pPr>
        <w:pStyle w:val="Heading1"/>
      </w:pPr>
      <w:r>
        <w:t>Nachmittag: was jede Gruppe einträgt</w:t>
      </w:r>
    </w:p>
    <w:tbl>
      <w:tblPr>
        <w:tblStyle w:val="LightGrid-Accent1"/>
        <w:tblW w:type="auto" w:w="0"/>
        <w:tblLook w:firstColumn="1" w:firstRow="1" w:lastColumn="0" w:lastRow="0" w:noHBand="0" w:noVBand="1" w:val="04A0"/>
      </w:tblPr>
      <w:tblGrid>
        <w:gridCol w:w="4320"/>
        <w:gridCol w:w="4320"/>
      </w:tblGrid>
      <w:tr>
        <w:tc>
          <w:tcPr>
            <w:tcW w:type="dxa" w:w="2835"/>
          </w:tcPr>
          <w:p>
            <w:r>
              <w:rPr>
                <w:b/>
              </w:rPr>
              <w:t>Fach</w:t>
            </w:r>
          </w:p>
        </w:tc>
        <w:tc>
          <w:tcPr>
            <w:tcW w:type="dxa" w:w="5953"/>
          </w:tcPr>
          <w:p>
            <w:r>
              <w:t>z. B. Physik</w:t>
            </w:r>
          </w:p>
        </w:tc>
      </w:tr>
      <w:tr>
        <w:tc>
          <w:tcPr>
            <w:tcW w:type="dxa" w:w="2835"/>
          </w:tcPr>
          <w:p>
            <w:r>
              <w:rPr>
                <w:b/>
              </w:rPr>
              <w:t>Weg und Werkzeug</w:t>
            </w:r>
          </w:p>
        </w:tc>
        <w:tc>
          <w:tcPr>
            <w:tcW w:type="dxa" w:w="5953"/>
          </w:tcPr>
          <w:p>
            <w:r>
              <w:t>A/B/C, und ob Gemini-Canvas oder NotebookLM</w:t>
            </w:r>
          </w:p>
        </w:tc>
      </w:tr>
      <w:tr>
        <w:tc>
          <w:tcPr>
            <w:tcW w:type="dxa" w:w="2835"/>
          </w:tcPr>
          <w:p>
            <w:r>
              <w:rPr>
                <w:b/>
              </w:rPr>
              <w:t>Das Artefakt</w:t>
            </w:r>
          </w:p>
        </w:tc>
        <w:tc>
          <w:tcPr>
            <w:tcW w:type="dxa" w:w="5953"/>
          </w:tcPr>
          <w:p>
            <w:r>
              <w:t>kurzer Link oder Screenshot, oder eine Zeile Beschreibung</w:t>
            </w:r>
          </w:p>
        </w:tc>
      </w:tr>
      <w:tr>
        <w:tc>
          <w:tcPr>
            <w:tcW w:type="dxa" w:w="2835"/>
          </w:tcPr>
          <w:p>
            <w:r>
              <w:rPr>
                <w:b/>
              </w:rPr>
              <w:t>Wofür einsetzbar?</w:t>
            </w:r>
          </w:p>
        </w:tc>
        <w:tc>
          <w:tcPr>
            <w:tcW w:type="dxa" w:w="5953"/>
          </w:tcPr>
          <w:p>
            <w:r>
              <w:t>in welcher Stunde, für welchen Zweck</w:t>
            </w:r>
          </w:p>
        </w:tc>
      </w:tr>
    </w:tbl>
    <w:p/>
    <w:p>
      <w:pPr>
        <w:pStyle w:val="Heading1"/>
      </w:pPr>
      <w:r>
        <w:t>Reflexion: Leitfragen fürs Plenum</w:t>
      </w:r>
    </w:p>
    <w:p>
      <w:pPr>
        <w:spacing w:after="120"/>
      </w:pPr>
      <w:r>
        <w:rPr>
          <w:b w:val="0"/>
          <w:i w:val="0"/>
        </w:rPr>
        <w:t>Startet mit einem kurzen Galeriegang, alle schauen sich die Karten der anderen an. Danach redet ihr entlang dieser Fragen. Arbeitet sie nicht alle ab, zwei bis drei pro Runde reichen völlig.</w:t>
      </w:r>
    </w:p>
    <w:p>
      <w:pPr>
        <w:pStyle w:val="Heading2"/>
      </w:pPr>
      <w:r>
        <w:t>Nach dem Vormittag</w:t>
      </w:r>
    </w:p>
    <w:p>
      <w:pPr>
        <w:pStyle w:val="ListBullet"/>
      </w:pPr>
      <w:r>
        <w:t>Wo hat der Bot wirklich zum Denken gezwungen, und wo hat er doch die Lösung verschenkt?</w:t>
      </w:r>
    </w:p>
    <w:p>
      <w:pPr>
        <w:pStyle w:val="ListBullet"/>
      </w:pPr>
      <w:r>
        <w:t>Was war schwerer: ein Thema finden oder den System-Prompt bauen?</w:t>
      </w:r>
    </w:p>
    <w:p>
      <w:pPr>
        <w:pStyle w:val="ListBullet"/>
      </w:pPr>
      <w:r>
        <w:t>Die Text-only-Grenze: echtes Hindernis oder verkraftbar? Für welche Fächer wird es eng?</w:t>
      </w:r>
    </w:p>
    <w:p>
      <w:pPr>
        <w:pStyle w:val="ListBullet"/>
      </w:pPr>
      <w:r>
        <w:t>Würdet ihr das in einer echten Stunde einsetzen? Was müsste sich ändern, damit ihr es tut?</w:t>
      </w:r>
    </w:p>
    <w:p>
      <w:pPr>
        <w:pStyle w:val="Heading2"/>
      </w:pPr>
      <w:r>
        <w:t>Nach dem Nachmittag</w:t>
      </w:r>
    </w:p>
    <w:p>
      <w:pPr>
        <w:pStyle w:val="ListBullet"/>
      </w:pPr>
      <w:r>
        <w:t>Was hat euch echte Arbeit abgenommen, und was war eher Spielerei?</w:t>
      </w:r>
    </w:p>
    <w:p>
      <w:pPr>
        <w:pStyle w:val="ListBullet"/>
      </w:pPr>
      <w:r>
        <w:t>Wo war die KI schneller als ihr, wo langsamer oder ungenauer?</w:t>
      </w:r>
    </w:p>
    <w:p>
      <w:pPr>
        <w:pStyle w:val="ListBullet"/>
      </w:pPr>
      <w:r>
        <w:t>Welches Artefakt landet nächste Woche wirklich im Unterricht?</w:t>
      </w:r>
    </w:p>
    <w:p>
      <w:pPr>
        <w:pStyle w:val="ListBullet"/>
      </w:pPr>
      <w:r>
        <w:t>Was probiert ihr als Erstes zu Hause weiter?</w:t>
      </w:r>
    </w:p>
    <w:tbl>
      <w:tblPr>
        <w:tblW w:type="auto" w:w="0"/>
        <w:jc w:val="center"/>
        <w:tblLayout w:type="autofit"/>
        <w:tblLook w:firstColumn="1" w:firstRow="1" w:lastColumn="0" w:lastRow="0" w:noHBand="0" w:noVBand="1" w:val="04A0"/>
      </w:tblPr>
      <w:tblGrid>
        <w:gridCol w:w="8640"/>
      </w:tblGrid>
      <w:tr>
        <w:tc>
          <w:tcPr>
            <w:tcW w:type="dxa" w:w="8640"/>
            <w:shd w:val="clear" w:color="auto" w:fill="E7F1EA"/>
          </w:tcPr>
          <w:p>
            <w:pPr>
              <w:spacing w:after="40"/>
            </w:pPr>
            <w:r/>
            <w:r>
              <w:rPr>
                <w:b/>
              </w:rPr>
              <w:t>Ein Satz zum Mitnehmen</w:t>
            </w:r>
          </w:p>
          <w:p>
            <w:pPr>
              <w:spacing w:after="40"/>
            </w:pPr>
            <w:r>
              <w:rPr>
                <w:b w:val="0"/>
              </w:rPr>
              <w:t>Bittet zum Schluss jede Gruppe um einen einzigen Satz: „Das nehme ich mit.“ Kurz, konkret, und ein guter Abschluss fürs Protokoll.</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Master-Paket „Medienpädagogischer Tag KI“ · frei anpassbar · Namen/Räume sind Platzhalter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