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2948" w14:textId="4285A445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30F04B" w14:textId="77777777" w:rsidR="00F252E4" w:rsidRDefault="00F252E4" w:rsidP="00F252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047F2A64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D89FA33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1502F06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0C28D160" w14:textId="77777777" w:rsidR="00F252E4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4F4FB56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55AD335" w14:textId="77777777" w:rsidR="00F252E4" w:rsidRPr="000A6735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58655E3C" w14:textId="77777777" w:rsidR="00F252E4" w:rsidRDefault="00F252E4" w:rsidP="00F252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3DD16A9" w14:textId="77777777" w:rsidR="00F252E4" w:rsidRDefault="00F252E4" w:rsidP="00F252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3BB3CB2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11143057" w14:textId="77777777" w:rsidR="00F252E4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E8F2B82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584F304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386BC3A9" w14:textId="77777777" w:rsidR="00F252E4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93DF0C1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849E517" w14:textId="77777777" w:rsidR="00F252E4" w:rsidRDefault="00F252E4" w:rsidP="00F252E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45E6A069" w14:textId="77777777" w:rsidR="00F252E4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BA4BC21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9D20B9D" w14:textId="77777777" w:rsidR="00F252E4" w:rsidRPr="007712BC" w:rsidRDefault="00F252E4" w:rsidP="00F252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4A1466C4" w14:textId="77777777" w:rsidR="00F252E4" w:rsidRDefault="00F252E4" w:rsidP="00F252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BB75A27" w14:textId="77777777" w:rsidR="00F252E4" w:rsidRPr="007712BC" w:rsidRDefault="00F252E4" w:rsidP="00F252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40A41B1" w14:textId="77777777" w:rsidR="00F252E4" w:rsidRPr="000A6735" w:rsidRDefault="00F252E4" w:rsidP="00F252E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6886EDA1" w14:textId="77777777" w:rsidR="00F252E4" w:rsidRPr="000A6735" w:rsidRDefault="00F252E4" w:rsidP="00F252E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B571A86" w14:textId="77777777" w:rsidR="00F252E4" w:rsidRPr="000A6735" w:rsidRDefault="00F252E4" w:rsidP="00F252E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BFBC13D" w14:textId="77A142C5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8B7356" w14:textId="00D44FC9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058592" w14:textId="2AE2162E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79AFAA" w14:textId="5D54D523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818B64" w14:textId="76CD2F7A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A34558" w14:textId="6AA81BB4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3BC752" w14:textId="665A6316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983C14" w14:textId="77777777" w:rsidR="00F252E4" w:rsidRDefault="00F252E4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E0D0CB" w14:textId="1DBFBDB2" w:rsidR="00A97C53" w:rsidRPr="005521D5" w:rsidRDefault="00A97C53" w:rsidP="00A97C5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21D5">
        <w:rPr>
          <w:rFonts w:ascii="Arial" w:hAnsi="Arial" w:cs="Arial"/>
          <w:b/>
          <w:bCs/>
          <w:sz w:val="28"/>
          <w:szCs w:val="28"/>
        </w:rPr>
        <w:lastRenderedPageBreak/>
        <w:t>SEMANA 14</w:t>
      </w:r>
    </w:p>
    <w:p w14:paraId="03B6C1F5" w14:textId="77777777" w:rsidR="00A97C53" w:rsidRPr="00780693" w:rsidRDefault="00A97C53" w:rsidP="00A9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06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AUTÓMATA PILA</w:t>
      </w:r>
    </w:p>
    <w:p w14:paraId="153B8F0D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Es una extensión del autómata finito no determinista con transiciones-ε, el cual constituye una forma de definir los lenguajes regulares. El autómata a pila es fundamentalmente un AFN-ε con la adición de una pila. </w:t>
      </w:r>
    </w:p>
    <w:p w14:paraId="28EB9E4C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La pila se puede leer, se pueden introducir elementos en ella y extraer sólo el elemento que está en la parte superior de la misma, exactamente igual que la estructura de datos de una “pila”.</w:t>
      </w:r>
    </w:p>
    <w:p w14:paraId="72248267" w14:textId="77777777" w:rsidR="00A97C53" w:rsidRPr="00780693" w:rsidRDefault="00A97C53" w:rsidP="00A97C53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7DAB9D7A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Existen dos versiones diferentes del autómata a pila: una que acepta introduciendo un estado de aceptación, al igual que el autómata finito, y otra versión que acepta vaciando la pila, independientemente del estado en que se encuentre. Estas dos versiones aceptan sólo lenguajes independientes del contexto; es decir, gramáticas que pueden convertirse en autómatas a pila, y viceversa. </w:t>
      </w:r>
    </w:p>
    <w:p w14:paraId="3BC55F76" w14:textId="77777777" w:rsidR="00A97C53" w:rsidRPr="00780693" w:rsidRDefault="00A97C53" w:rsidP="00A97C53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1DEBFB60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 xml:space="preserve">La subclase de autómatas a pila que son deterministas </w:t>
      </w:r>
      <w:proofErr w:type="gramStart"/>
      <w:r w:rsidRPr="00780693">
        <w:rPr>
          <w:rFonts w:ascii="Arial" w:eastAsia="Times New Roman" w:hAnsi="Arial" w:cs="Arial"/>
          <w:color w:val="000000"/>
          <w:lang w:eastAsia="es-MX"/>
        </w:rPr>
        <w:t>aceptan</w:t>
      </w:r>
      <w:proofErr w:type="gramEnd"/>
      <w:r w:rsidRPr="00780693">
        <w:rPr>
          <w:rFonts w:ascii="Arial" w:eastAsia="Times New Roman" w:hAnsi="Arial" w:cs="Arial"/>
          <w:color w:val="000000"/>
          <w:lang w:eastAsia="es-MX"/>
        </w:rPr>
        <w:t xml:space="preserve"> todos los lenguajes regulares, pero sólo un subconjunto adecuado de los lenguajes independientes del contexto. Puesto que son muy similares a los mecanismos del analizador sintáctico de un compilador típico, es importante fijarse en qué construcciones del lenguaje pueden y no pueden reconocer los autómatas a pila deterministas.</w:t>
      </w:r>
    </w:p>
    <w:p w14:paraId="01174C9F" w14:textId="77777777" w:rsidR="00A97C53" w:rsidRPr="00780693" w:rsidRDefault="00A97C53" w:rsidP="00A97C53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75E332D2" w14:textId="77777777" w:rsidR="00A97C53" w:rsidRPr="00773CA8" w:rsidRDefault="00A97C53" w:rsidP="00A97C5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El autómata a pila puede observar el símbolo colocado en la parte superior de la pila y llevar a cabo su transición basándose en el estado actual, el símbolo de entrada y el símbolo que hay en la parte superior de la pila. Alternativamente, puede hacer una transición “espontánea”, utilizando ε como entrada en lugar de un símbolo de entrada. </w:t>
      </w:r>
    </w:p>
    <w:p w14:paraId="282191EF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</w:p>
    <w:p w14:paraId="2AE85591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En una transición, el autómata a pila: </w:t>
      </w:r>
    </w:p>
    <w:p w14:paraId="2E276A0D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1. Consume de la entrada el símbolo que se usa en la transición. Si como entrada se utiliza ε, entonces no se consume ningún símbolo de entrada. </w:t>
      </w:r>
    </w:p>
    <w:p w14:paraId="391C4E6A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2. Pasa a un nuevo estado, que puede o no ser el mismo que el estado anterior. </w:t>
      </w:r>
    </w:p>
    <w:p w14:paraId="0DF8FC3F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>3. Reemplaza el símbolo de la parte superior de la pila por cualquier cadena. La cadena puede ser ε, lo que corresponde a una extracción de la pila. Podría ser el mismo símbolo que estaba anteriormente en la cima de la pila; es decir, no se realiza ningún cambio en la pila. </w:t>
      </w:r>
    </w:p>
    <w:p w14:paraId="23F1B828" w14:textId="77777777" w:rsidR="00A97C53" w:rsidRPr="00780693" w:rsidRDefault="00A97C53" w:rsidP="00A97C53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14:paraId="0B32A403" w14:textId="77777777" w:rsidR="00A97C53" w:rsidRPr="00780693" w:rsidRDefault="00A97C53" w:rsidP="00A97C5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s-MX"/>
        </w:rPr>
      </w:pPr>
      <w:r w:rsidRPr="00780693">
        <w:rPr>
          <w:rFonts w:ascii="Arial" w:eastAsia="Times New Roman" w:hAnsi="Arial" w:cs="Arial"/>
          <w:color w:val="000000"/>
          <w:lang w:eastAsia="es-MX"/>
        </w:rPr>
        <w:t xml:space="preserve">También podría reemplazar el símbolo de la cima de la pila por otro símbolo, lo que cambiaría la cima de la </w:t>
      </w:r>
      <w:proofErr w:type="gramStart"/>
      <w:r w:rsidRPr="00780693">
        <w:rPr>
          <w:rFonts w:ascii="Arial" w:eastAsia="Times New Roman" w:hAnsi="Arial" w:cs="Arial"/>
          <w:color w:val="000000"/>
          <w:lang w:eastAsia="es-MX"/>
        </w:rPr>
        <w:t>pila</w:t>
      </w:r>
      <w:proofErr w:type="gramEnd"/>
      <w:r w:rsidRPr="00780693">
        <w:rPr>
          <w:rFonts w:ascii="Arial" w:eastAsia="Times New Roman" w:hAnsi="Arial" w:cs="Arial"/>
          <w:color w:val="000000"/>
          <w:lang w:eastAsia="es-MX"/>
        </w:rPr>
        <w:t xml:space="preserve"> pero no añade ni extraer ningún símbolo. Por último, el símbolo de la cima de la pila podría ser reemplazado por dos o más símbolos, lo que (posiblemente) tendría el efecto de cambiar el símbolo de la cima de la pila, añadiendo después uno o más nuevos símbolos a la pila.</w:t>
      </w:r>
    </w:p>
    <w:p w14:paraId="30CAB386" w14:textId="77777777" w:rsidR="00A97C53" w:rsidRDefault="00A97C53" w:rsidP="00A97C53">
      <w:pPr>
        <w:jc w:val="both"/>
        <w:rPr>
          <w:rFonts w:ascii="Arial" w:hAnsi="Arial" w:cs="Arial"/>
        </w:rPr>
      </w:pPr>
    </w:p>
    <w:p w14:paraId="463FF7FD" w14:textId="77777777" w:rsidR="00A97C53" w:rsidRDefault="00A97C53"/>
    <w:sectPr w:rsidR="00A97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3"/>
    <w:rsid w:val="00A97C53"/>
    <w:rsid w:val="00F2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7B2"/>
  <w15:chartTrackingRefBased/>
  <w15:docId w15:val="{71E3653F-63F0-4126-9259-D263D46F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2</cp:revision>
  <dcterms:created xsi:type="dcterms:W3CDTF">2021-01-24T05:05:00Z</dcterms:created>
  <dcterms:modified xsi:type="dcterms:W3CDTF">2021-01-24T05:10:00Z</dcterms:modified>
</cp:coreProperties>
</file>