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F92" w:rsidRDefault="00EC1356" w:rsidP="005C2D89">
      <w:pPr>
        <w:pStyle w:val="Ttulo2"/>
      </w:pPr>
      <w:r>
        <w:t>Problem: Supply &amp; Demand</w:t>
      </w:r>
    </w:p>
    <w:p w:rsidR="00EC1356" w:rsidRDefault="00EC1356" w:rsidP="00EC1356">
      <w:pPr>
        <w:jc w:val="center"/>
      </w:pPr>
      <w:r>
        <w:rPr>
          <w:noProof/>
        </w:rPr>
        <w:drawing>
          <wp:inline distT="0" distB="0" distL="0" distR="0" wp14:anchorId="6AEB1939" wp14:editId="4B8B2D6E">
            <wp:extent cx="3276600" cy="2571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76600" cy="2571750"/>
                    </a:xfrm>
                    <a:prstGeom prst="rect">
                      <a:avLst/>
                    </a:prstGeom>
                  </pic:spPr>
                </pic:pic>
              </a:graphicData>
            </a:graphic>
          </wp:inline>
        </w:drawing>
      </w:r>
    </w:p>
    <w:p w:rsidR="00EC1356" w:rsidRDefault="00EC1356" w:rsidP="00EC1356">
      <w:r>
        <w:t>Moving resources efficiently from supplier to consumer is a challenging problem that can be solved using O.R. techniques. Figure 1 shows a map of blue factories that supply food to orange towns. The numbers below the factories and towns indicate how much food (in kg) each supplies and demands, respectively. Any factory can supply any amount of food to one or several towns. A new factory has not yet been determined. The distance between adjacent cells on the map is 1 km. The cost to transport 1 kg of food 1 km is $10. The new factory cannot occupy a cell that already contains an existing factory or town.</w:t>
      </w:r>
    </w:p>
    <w:p w:rsidR="00EC1356" w:rsidRDefault="00EC1356" w:rsidP="00EC1356">
      <w:pPr>
        <w:rPr>
          <w:b/>
        </w:rPr>
      </w:pPr>
      <w:r w:rsidRPr="00EC1356">
        <w:rPr>
          <w:b/>
        </w:rPr>
        <w:t>Q: If the new factory is optimally located, what is the total transportation cost to satisfy the demand of all towns?</w:t>
      </w:r>
    </w:p>
    <w:p w:rsidR="005A754E" w:rsidRDefault="005A754E" w:rsidP="00EC1356">
      <w:pPr>
        <w:rPr>
          <w:b/>
        </w:rPr>
      </w:pPr>
    </w:p>
    <w:p w:rsidR="005A754E" w:rsidRDefault="005A754E" w:rsidP="00EC1356">
      <w:r>
        <w:t>Nomenclature: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969"/>
      </w:tblGrid>
      <w:tr w:rsidR="0010205F" w:rsidTr="003779F2">
        <w:tc>
          <w:tcPr>
            <w:tcW w:w="1525" w:type="dxa"/>
          </w:tcPr>
          <w:p w:rsidR="0010205F" w:rsidRDefault="0010205F" w:rsidP="00EC1356">
            <w:r>
              <w:t>Sets:</w:t>
            </w:r>
          </w:p>
        </w:tc>
        <w:tc>
          <w:tcPr>
            <w:tcW w:w="6969" w:type="dxa"/>
          </w:tcPr>
          <w:p w:rsidR="0010205F" w:rsidRDefault="0010205F" w:rsidP="00EC1356"/>
        </w:tc>
      </w:tr>
      <w:tr w:rsidR="0010205F" w:rsidTr="003779F2">
        <w:tc>
          <w:tcPr>
            <w:tcW w:w="1525" w:type="dxa"/>
          </w:tcPr>
          <w:p w:rsidR="0010205F" w:rsidRPr="00E662AF" w:rsidRDefault="0010205F" w:rsidP="00E662AF">
            <w:pPr>
              <w:jc w:val="both"/>
            </w:pPr>
            <m:oMathPara>
              <m:oMathParaPr>
                <m:jc m:val="left"/>
              </m:oMathParaPr>
              <m:oMath>
                <m:r>
                  <w:rPr>
                    <w:rFonts w:ascii="Cambria Math" w:hAnsi="Cambria Math"/>
                  </w:rPr>
                  <m:t>N</m:t>
                </m:r>
              </m:oMath>
            </m:oMathPara>
          </w:p>
        </w:tc>
        <w:tc>
          <w:tcPr>
            <w:tcW w:w="6969" w:type="dxa"/>
          </w:tcPr>
          <w:p w:rsidR="0010205F" w:rsidRDefault="0010205F" w:rsidP="00EC1356">
            <w:r>
              <w:t>Set of nodes</w:t>
            </w:r>
          </w:p>
        </w:tc>
      </w:tr>
      <w:tr w:rsidR="00E662AF" w:rsidTr="003779F2">
        <w:tc>
          <w:tcPr>
            <w:tcW w:w="1525" w:type="dxa"/>
          </w:tcPr>
          <w:p w:rsidR="00E662AF" w:rsidRPr="00E662AF" w:rsidRDefault="00E662AF" w:rsidP="00E662AF">
            <w:pPr>
              <w:jc w:val="both"/>
            </w:pPr>
            <m:oMathPara>
              <m:oMathParaPr>
                <m:jc m:val="left"/>
              </m:oMathParaPr>
              <m:oMath>
                <m:r>
                  <w:rPr>
                    <w:rFonts w:ascii="Cambria Math" w:hAnsi="Cambria Math"/>
                  </w:rPr>
                  <m:t>L</m:t>
                </m:r>
              </m:oMath>
            </m:oMathPara>
          </w:p>
        </w:tc>
        <w:tc>
          <w:tcPr>
            <w:tcW w:w="6969" w:type="dxa"/>
          </w:tcPr>
          <w:p w:rsidR="00E662AF" w:rsidRDefault="00E662AF" w:rsidP="00E662AF">
            <w:r>
              <w:t>Set of branches</w:t>
            </w:r>
          </w:p>
        </w:tc>
      </w:tr>
      <w:tr w:rsidR="00E662AF" w:rsidTr="003779F2">
        <w:tc>
          <w:tcPr>
            <w:tcW w:w="1525" w:type="dxa"/>
          </w:tcPr>
          <w:p w:rsidR="00E662AF" w:rsidRDefault="00E662AF" w:rsidP="00E662AF">
            <w:pPr>
              <w:jc w:val="both"/>
              <w:rPr>
                <w:rFonts w:ascii="Calibri" w:eastAsia="Calibri" w:hAnsi="Calibri" w:cs="Arial"/>
              </w:rPr>
            </w:pPr>
            <w:r>
              <w:rPr>
                <w:rFonts w:ascii="Calibri" w:eastAsia="Calibri" w:hAnsi="Calibri" w:cs="Arial"/>
              </w:rPr>
              <w:t>Indexes:</w:t>
            </w:r>
          </w:p>
        </w:tc>
        <w:tc>
          <w:tcPr>
            <w:tcW w:w="6969" w:type="dxa"/>
          </w:tcPr>
          <w:p w:rsidR="00E662AF" w:rsidRDefault="00E662AF" w:rsidP="00E662AF"/>
        </w:tc>
      </w:tr>
      <w:tr w:rsidR="00E662AF" w:rsidTr="003779F2">
        <w:tc>
          <w:tcPr>
            <w:tcW w:w="1525" w:type="dxa"/>
          </w:tcPr>
          <w:p w:rsidR="00E662AF" w:rsidRPr="00E662AF" w:rsidRDefault="00E662AF" w:rsidP="00E662AF">
            <w:pPr>
              <w:jc w:val="both"/>
            </w:pPr>
            <m:oMathPara>
              <m:oMathParaPr>
                <m:jc m:val="left"/>
              </m:oMathParaPr>
              <m:oMath>
                <m:r>
                  <w:rPr>
                    <w:rFonts w:ascii="Cambria Math" w:hAnsi="Cambria Math"/>
                  </w:rPr>
                  <m:t>i</m:t>
                </m:r>
              </m:oMath>
            </m:oMathPara>
          </w:p>
        </w:tc>
        <w:tc>
          <w:tcPr>
            <w:tcW w:w="6969" w:type="dxa"/>
          </w:tcPr>
          <w:p w:rsidR="00E662AF" w:rsidRDefault="00E662AF" w:rsidP="00E662AF">
            <w:r>
              <w:t>Index of node</w:t>
            </w:r>
          </w:p>
        </w:tc>
      </w:tr>
      <w:tr w:rsidR="00E662AF" w:rsidTr="003779F2">
        <w:tc>
          <w:tcPr>
            <w:tcW w:w="1525" w:type="dxa"/>
          </w:tcPr>
          <w:p w:rsidR="00E662AF" w:rsidRPr="00E662AF" w:rsidRDefault="00E662AF" w:rsidP="00E662AF">
            <w:pPr>
              <w:jc w:val="both"/>
            </w:pPr>
            <m:oMathPara>
              <m:oMathParaPr>
                <m:jc m:val="left"/>
              </m:oMathParaPr>
              <m:oMath>
                <m:r>
                  <w:rPr>
                    <w:rFonts w:ascii="Cambria Math" w:hAnsi="Cambria Math"/>
                  </w:rPr>
                  <m:t>ij</m:t>
                </m:r>
              </m:oMath>
            </m:oMathPara>
          </w:p>
        </w:tc>
        <w:tc>
          <w:tcPr>
            <w:tcW w:w="6969" w:type="dxa"/>
          </w:tcPr>
          <w:p w:rsidR="00E662AF" w:rsidRDefault="00E662AF" w:rsidP="00E662AF">
            <w:r>
              <w:t>Index of branch</w:t>
            </w:r>
          </w:p>
        </w:tc>
      </w:tr>
      <w:tr w:rsidR="00E662AF" w:rsidTr="003779F2">
        <w:tc>
          <w:tcPr>
            <w:tcW w:w="1525" w:type="dxa"/>
          </w:tcPr>
          <w:p w:rsidR="00E662AF" w:rsidRDefault="00E662AF" w:rsidP="00E662AF">
            <w:pPr>
              <w:jc w:val="both"/>
              <w:rPr>
                <w:rFonts w:ascii="Calibri" w:eastAsia="Calibri" w:hAnsi="Calibri" w:cs="Arial"/>
              </w:rPr>
            </w:pPr>
            <w:r>
              <w:rPr>
                <w:rFonts w:ascii="Calibri" w:eastAsia="Calibri" w:hAnsi="Calibri" w:cs="Arial"/>
              </w:rPr>
              <w:t>Parameters:</w:t>
            </w:r>
          </w:p>
        </w:tc>
        <w:tc>
          <w:tcPr>
            <w:tcW w:w="6969" w:type="dxa"/>
          </w:tcPr>
          <w:p w:rsidR="00E662AF" w:rsidRDefault="00E662AF" w:rsidP="00E662AF"/>
        </w:tc>
      </w:tr>
      <w:tr w:rsidR="00E662AF" w:rsidTr="003779F2">
        <w:tc>
          <w:tcPr>
            <w:tcW w:w="1525" w:type="dxa"/>
          </w:tcPr>
          <w:p w:rsidR="00E662AF" w:rsidRPr="00E662AF" w:rsidRDefault="007D3AA2" w:rsidP="00E662AF">
            <w:pPr>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6969" w:type="dxa"/>
          </w:tcPr>
          <w:p w:rsidR="00E662AF" w:rsidRDefault="00E662AF" w:rsidP="00E662AF">
            <w:r>
              <w:t xml:space="preserve">Capacity of each factory at node </w:t>
            </w:r>
            <m:oMath>
              <m:r>
                <w:rPr>
                  <w:rFonts w:ascii="Cambria Math" w:hAnsi="Cambria Math"/>
                </w:rPr>
                <m:t>i</m:t>
              </m:r>
            </m:oMath>
          </w:p>
        </w:tc>
      </w:tr>
      <w:tr w:rsidR="00E662AF" w:rsidTr="003779F2">
        <w:tc>
          <w:tcPr>
            <w:tcW w:w="1525" w:type="dxa"/>
          </w:tcPr>
          <w:p w:rsidR="00E662AF" w:rsidRPr="00E662AF" w:rsidRDefault="007D3AA2" w:rsidP="00E662AF">
            <w:pPr>
              <w:jc w:val="both"/>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6969" w:type="dxa"/>
          </w:tcPr>
          <w:p w:rsidR="00E662AF" w:rsidRDefault="00E662AF" w:rsidP="00E662AF">
            <w:r>
              <w:t xml:space="preserve">Demand of each town at node </w:t>
            </w:r>
            <m:oMath>
              <m:r>
                <w:rPr>
                  <w:rFonts w:ascii="Cambria Math" w:hAnsi="Cambria Math"/>
                </w:rPr>
                <m:t>i</m:t>
              </m:r>
            </m:oMath>
          </w:p>
        </w:tc>
      </w:tr>
      <w:tr w:rsidR="00E662AF" w:rsidTr="003779F2">
        <w:tc>
          <w:tcPr>
            <w:tcW w:w="1525" w:type="dxa"/>
          </w:tcPr>
          <w:p w:rsidR="00E662AF"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ij</m:t>
                    </m:r>
                  </m:sub>
                </m:sSub>
              </m:oMath>
            </m:oMathPara>
          </w:p>
        </w:tc>
        <w:tc>
          <w:tcPr>
            <w:tcW w:w="6969" w:type="dxa"/>
          </w:tcPr>
          <w:p w:rsidR="00E662AF" w:rsidRDefault="00E662AF" w:rsidP="00AF1B13">
            <w:r>
              <w:t xml:space="preserve">Distant from factory located at node </w:t>
            </w:r>
            <m:oMath>
              <m:r>
                <w:rPr>
                  <w:rFonts w:ascii="Cambria Math" w:hAnsi="Cambria Math"/>
                </w:rPr>
                <m:t>i</m:t>
              </m:r>
            </m:oMath>
            <w:r>
              <w:t xml:space="preserve"> to town located at node </w:t>
            </w:r>
            <m:oMath>
              <m:r>
                <w:rPr>
                  <w:rFonts w:ascii="Cambria Math" w:hAnsi="Cambria Math"/>
                </w:rPr>
                <m:t>j</m:t>
              </m:r>
            </m:oMath>
          </w:p>
        </w:tc>
      </w:tr>
      <w:tr w:rsidR="00703960" w:rsidTr="003779F2">
        <w:tc>
          <w:tcPr>
            <w:tcW w:w="1525" w:type="dxa"/>
          </w:tcPr>
          <w:p w:rsidR="00703960"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6969" w:type="dxa"/>
          </w:tcPr>
          <w:p w:rsidR="00703960" w:rsidRDefault="00703960" w:rsidP="00AF1B13">
            <w:r>
              <w:t xml:space="preserve">Indicate if the node </w:t>
            </w:r>
            <m:oMath>
              <m:r>
                <w:rPr>
                  <w:rFonts w:ascii="Cambria Math" w:hAnsi="Cambria Math"/>
                </w:rPr>
                <m:t>i</m:t>
              </m:r>
            </m:oMath>
            <w:r>
              <w:rPr>
                <w:rFonts w:eastAsiaTheme="minorEastAsia"/>
              </w:rPr>
              <w:t xml:space="preserve"> is occupied or not</w:t>
            </w:r>
          </w:p>
        </w:tc>
      </w:tr>
      <w:tr w:rsidR="00E662AF" w:rsidTr="003779F2">
        <w:tc>
          <w:tcPr>
            <w:tcW w:w="1525" w:type="dxa"/>
          </w:tcPr>
          <w:p w:rsidR="00E662AF" w:rsidRPr="00185686" w:rsidRDefault="00703960" w:rsidP="00E662AF">
            <w:pPr>
              <w:jc w:val="both"/>
              <w:rPr>
                <w:rFonts w:ascii="Calibri" w:eastAsia="Calibri" w:hAnsi="Calibri" w:cs="Arial"/>
              </w:rPr>
            </w:pPr>
            <w:r>
              <w:rPr>
                <w:rFonts w:ascii="Calibri" w:eastAsia="Calibri" w:hAnsi="Calibri" w:cs="Arial"/>
              </w:rPr>
              <w:t>Variables:</w:t>
            </w:r>
          </w:p>
        </w:tc>
        <w:tc>
          <w:tcPr>
            <w:tcW w:w="6969" w:type="dxa"/>
          </w:tcPr>
          <w:p w:rsidR="00E662AF" w:rsidRDefault="00E662AF" w:rsidP="00E662AF"/>
        </w:tc>
      </w:tr>
      <w:tr w:rsidR="00703960" w:rsidTr="003779F2">
        <w:tc>
          <w:tcPr>
            <w:tcW w:w="1525" w:type="dxa"/>
          </w:tcPr>
          <w:p w:rsidR="00703960" w:rsidRPr="00E662AF" w:rsidRDefault="007D3AA2" w:rsidP="00703960">
            <w:pPr>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ij</m:t>
                    </m:r>
                  </m:sub>
                </m:sSub>
              </m:oMath>
            </m:oMathPara>
          </w:p>
        </w:tc>
        <w:tc>
          <w:tcPr>
            <w:tcW w:w="6969" w:type="dxa"/>
          </w:tcPr>
          <w:p w:rsidR="00703960" w:rsidRDefault="00703960" w:rsidP="00703960">
            <w:r>
              <w:t xml:space="preserve">Quantity of food transported from node </w:t>
            </w:r>
            <m:oMath>
              <m:r>
                <w:rPr>
                  <w:rFonts w:ascii="Cambria Math" w:hAnsi="Cambria Math"/>
                </w:rPr>
                <m:t>i</m:t>
              </m:r>
            </m:oMath>
            <w:r>
              <w:rPr>
                <w:rFonts w:eastAsiaTheme="minorEastAsia"/>
              </w:rPr>
              <w:t xml:space="preserve"> to </w:t>
            </w:r>
            <w:r>
              <w:t xml:space="preserve">node </w:t>
            </w:r>
            <m:oMath>
              <m:r>
                <w:rPr>
                  <w:rFonts w:ascii="Cambria Math" w:hAnsi="Cambria Math"/>
                </w:rPr>
                <m:t>j</m:t>
              </m:r>
            </m:oMath>
          </w:p>
        </w:tc>
      </w:tr>
      <w:tr w:rsidR="00703960" w:rsidTr="003779F2">
        <w:tc>
          <w:tcPr>
            <w:tcW w:w="1525" w:type="dxa"/>
          </w:tcPr>
          <w:p w:rsidR="00703960" w:rsidRPr="00E662AF" w:rsidRDefault="007D3AA2" w:rsidP="00703960">
            <w:pPr>
              <w:jc w:val="both"/>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m:t>
                    </m:r>
                  </m:sub>
                </m:sSub>
              </m:oMath>
            </m:oMathPara>
          </w:p>
        </w:tc>
        <w:tc>
          <w:tcPr>
            <w:tcW w:w="6969" w:type="dxa"/>
          </w:tcPr>
          <w:p w:rsidR="00703960" w:rsidRDefault="00703960" w:rsidP="00703960">
            <w:r>
              <w:t>Binary variable of investment</w:t>
            </w:r>
            <w:r w:rsidR="00AB19C3">
              <w:t xml:space="preserve"> at node </w:t>
            </w:r>
            <m:oMath>
              <m:r>
                <w:rPr>
                  <w:rFonts w:ascii="Cambria Math" w:hAnsi="Cambria Math"/>
                </w:rPr>
                <m:t>i</m:t>
              </m:r>
            </m:oMath>
          </w:p>
        </w:tc>
      </w:tr>
    </w:tbl>
    <w:p w:rsidR="005A754E" w:rsidRDefault="005A754E" w:rsidP="00EC1356"/>
    <w:p w:rsidR="005C2D89" w:rsidRDefault="005C2D89" w:rsidP="00EC1356"/>
    <w:p w:rsidR="005C2D89" w:rsidRDefault="005C2D89" w:rsidP="00EC1356"/>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1749"/>
      </w:tblGrid>
      <w:tr w:rsidR="003779F2" w:rsidTr="005C2D89">
        <w:trPr>
          <w:trHeight w:val="720"/>
        </w:trPr>
        <w:tc>
          <w:tcPr>
            <w:tcW w:w="6745" w:type="dxa"/>
            <w:vAlign w:val="center"/>
          </w:tcPr>
          <w:p w:rsidR="003779F2" w:rsidRDefault="007D3AA2" w:rsidP="001B7F8B">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ij</m:t>
                            </m:r>
                          </m:sub>
                        </m:sSub>
                      </m:lim>
                    </m:limLow>
                  </m:fName>
                  <m:e>
                    <m:r>
                      <w:rPr>
                        <w:rFonts w:ascii="Cambria Math" w:hAnsi="Cambria Math"/>
                      </w:rPr>
                      <m:t>10</m:t>
                    </m:r>
                    <m:nary>
                      <m:naryPr>
                        <m:chr m:val="∑"/>
                        <m:limLoc m:val="undOvr"/>
                        <m:supHide m:val="1"/>
                        <m:ctrlPr>
                          <w:rPr>
                            <w:rFonts w:ascii="Cambria Math" w:hAnsi="Cambria Math"/>
                            <w:i/>
                          </w:rPr>
                        </m:ctrlPr>
                      </m:naryPr>
                      <m:sub>
                        <m:r>
                          <w:rPr>
                            <w:rFonts w:ascii="Cambria Math" w:hAnsi="Cambria Math"/>
                          </w:rPr>
                          <m:t>ij∈B</m:t>
                        </m:r>
                      </m:sub>
                      <m:sup/>
                      <m:e>
                        <m:sSub>
                          <m:sSubPr>
                            <m:ctrlPr>
                              <w:rPr>
                                <w:rFonts w:ascii="Cambria Math" w:hAnsi="Cambria Math"/>
                                <w:i/>
                              </w:rPr>
                            </m:ctrlPr>
                          </m:sSubPr>
                          <m:e>
                            <m:r>
                              <w:rPr>
                                <w:rFonts w:ascii="Cambria Math" w:hAnsi="Cambria Math"/>
                              </w:rPr>
                              <m:t>t</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func>
              </m:oMath>
            </m:oMathPara>
          </w:p>
        </w:tc>
        <w:tc>
          <w:tcPr>
            <w:tcW w:w="1749" w:type="dxa"/>
            <w:vAlign w:val="center"/>
          </w:tcPr>
          <w:p w:rsidR="003779F2" w:rsidRDefault="003779F2" w:rsidP="001B7F8B">
            <w:pPr>
              <w:jc w:val="center"/>
            </w:pPr>
          </w:p>
        </w:tc>
      </w:tr>
      <w:tr w:rsidR="003779F2" w:rsidTr="005C2D89">
        <w:trPr>
          <w:trHeight w:val="720"/>
        </w:trPr>
        <w:tc>
          <w:tcPr>
            <w:tcW w:w="6745" w:type="dxa"/>
            <w:vAlign w:val="center"/>
          </w:tcPr>
          <w:p w:rsidR="003779F2" w:rsidRDefault="007D3AA2" w:rsidP="001B7F8B">
            <w:pPr>
              <w:jc w:val="center"/>
            </w:pPr>
            <m:oMathPara>
              <m:oMath>
                <m:nary>
                  <m:naryPr>
                    <m:chr m:val="∑"/>
                    <m:limLoc m:val="undOvr"/>
                    <m:supHide m:val="1"/>
                    <m:ctrlPr>
                      <w:rPr>
                        <w:rFonts w:ascii="Cambria Math" w:hAnsi="Cambria Math"/>
                        <w:i/>
                      </w:rPr>
                    </m:ctrlPr>
                  </m:naryPr>
                  <m:sub>
                    <m:r>
                      <w:rPr>
                        <w:rFonts w:ascii="Cambria Math" w:hAnsi="Cambria Math"/>
                      </w:rPr>
                      <m:t>ij∈B|j=k</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1749" w:type="dxa"/>
            <w:vAlign w:val="center"/>
          </w:tcPr>
          <w:p w:rsidR="003779F2" w:rsidRDefault="001B7F8B" w:rsidP="001B7F8B">
            <w:pPr>
              <w:jc w:val="center"/>
            </w:pPr>
            <m:oMathPara>
              <m:oMath>
                <m:r>
                  <w:rPr>
                    <w:rFonts w:ascii="Cambria Math" w:hAnsi="Cambria Math"/>
                  </w:rPr>
                  <m:t>∀k∈N</m:t>
                </m:r>
              </m:oMath>
            </m:oMathPara>
          </w:p>
        </w:tc>
      </w:tr>
      <w:tr w:rsidR="003779F2" w:rsidTr="005C2D89">
        <w:trPr>
          <w:trHeight w:val="720"/>
        </w:trPr>
        <w:tc>
          <w:tcPr>
            <w:tcW w:w="6745" w:type="dxa"/>
            <w:vAlign w:val="center"/>
          </w:tcPr>
          <w:p w:rsidR="003779F2" w:rsidRDefault="007D3AA2" w:rsidP="001B7F8B">
            <w:pPr>
              <w:jc w:val="center"/>
            </w:pPr>
            <m:oMathPara>
              <m:oMath>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tc>
        <w:tc>
          <w:tcPr>
            <w:tcW w:w="1749" w:type="dxa"/>
            <w:vAlign w:val="center"/>
          </w:tcPr>
          <w:p w:rsidR="003779F2" w:rsidRDefault="003779F2" w:rsidP="001B7F8B">
            <w:pPr>
              <w:jc w:val="center"/>
            </w:pPr>
          </w:p>
        </w:tc>
      </w:tr>
      <w:tr w:rsidR="001B7F8B" w:rsidTr="005C2D89">
        <w:trPr>
          <w:trHeight w:val="720"/>
        </w:trPr>
        <w:tc>
          <w:tcPr>
            <w:tcW w:w="6745" w:type="dxa"/>
            <w:vAlign w:val="center"/>
          </w:tcPr>
          <w:p w:rsidR="001B7F8B" w:rsidRDefault="007D3AA2" w:rsidP="001B7F8B">
            <w:pPr>
              <w:jc w:val="center"/>
            </w:pPr>
            <m:oMathPara>
              <m:oMath>
                <m:nary>
                  <m:naryPr>
                    <m:chr m:val="∑"/>
                    <m:limLoc m:val="undOvr"/>
                    <m:supHide m:val="1"/>
                    <m:ctrlPr>
                      <w:rPr>
                        <w:rFonts w:ascii="Cambria Math" w:hAnsi="Cambria Math"/>
                        <w:i/>
                      </w:rPr>
                    </m:ctrlPr>
                  </m:naryPr>
                  <m:sub>
                    <m:r>
                      <w:rPr>
                        <w:rFonts w:ascii="Cambria Math" w:hAnsi="Cambria Math"/>
                      </w:rPr>
                      <m:t>ij∈B|i=k</m:t>
                    </m:r>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+1000</m:t>
                </m:r>
                <m:sSub>
                  <m:sSubPr>
                    <m:ctrlPr>
                      <w:rPr>
                        <w:rFonts w:ascii="Cambria Math" w:hAnsi="Cambria Math"/>
                        <w:i/>
                      </w:rPr>
                    </m:ctrlPr>
                  </m:sSubPr>
                  <m:e>
                    <m:r>
                      <w:rPr>
                        <w:rFonts w:ascii="Cambria Math" w:hAnsi="Cambria Math"/>
                      </w:rPr>
                      <m:t>y</m:t>
                    </m:r>
                  </m:e>
                  <m:sub>
                    <m:r>
                      <w:rPr>
                        <w:rFonts w:ascii="Cambria Math" w:hAnsi="Cambria Math"/>
                      </w:rPr>
                      <m:t>k</m:t>
                    </m:r>
                  </m:sub>
                </m:sSub>
              </m:oMath>
            </m:oMathPara>
          </w:p>
        </w:tc>
        <w:tc>
          <w:tcPr>
            <w:tcW w:w="1749" w:type="dxa"/>
            <w:vAlign w:val="center"/>
          </w:tcPr>
          <w:p w:rsidR="001B7F8B" w:rsidRDefault="001B7F8B" w:rsidP="001B7F8B">
            <w:pPr>
              <w:jc w:val="center"/>
            </w:pPr>
            <m:oMathPara>
              <m:oMath>
                <m:r>
                  <w:rPr>
                    <w:rFonts w:ascii="Cambria Math" w:hAnsi="Cambria Math"/>
                  </w:rPr>
                  <m:t>∀k∈N</m:t>
                </m:r>
              </m:oMath>
            </m:oMathPara>
          </w:p>
        </w:tc>
      </w:tr>
      <w:tr w:rsidR="001B7F8B" w:rsidTr="005C2D89">
        <w:trPr>
          <w:trHeight w:val="720"/>
        </w:trPr>
        <w:tc>
          <w:tcPr>
            <w:tcW w:w="6745" w:type="dxa"/>
            <w:vAlign w:val="center"/>
          </w:tcPr>
          <w:p w:rsidR="001B7F8B" w:rsidRDefault="007D3AA2" w:rsidP="001B7F8B">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oMath>
            </m:oMathPara>
          </w:p>
        </w:tc>
        <w:tc>
          <w:tcPr>
            <w:tcW w:w="1749" w:type="dxa"/>
            <w:vAlign w:val="center"/>
          </w:tcPr>
          <w:p w:rsidR="001B7F8B" w:rsidRDefault="001B7F8B" w:rsidP="001B7F8B">
            <w:pPr>
              <w:jc w:val="center"/>
            </w:pPr>
            <m:oMathPara>
              <m:oMath>
                <m:r>
                  <w:rPr>
                    <w:rFonts w:ascii="Cambria Math" w:hAnsi="Cambria Math"/>
                  </w:rPr>
                  <m:t>∀k∈N|</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m:t>
                </m:r>
              </m:oMath>
            </m:oMathPara>
          </w:p>
        </w:tc>
      </w:tr>
      <w:tr w:rsidR="001B7F8B" w:rsidTr="005C2D89">
        <w:trPr>
          <w:trHeight w:val="720"/>
        </w:trPr>
        <w:tc>
          <w:tcPr>
            <w:tcW w:w="6745" w:type="dxa"/>
            <w:vAlign w:val="center"/>
          </w:tcPr>
          <w:p w:rsidR="001B7F8B" w:rsidRDefault="00666B76" w:rsidP="001B7F8B">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tc>
        <w:tc>
          <w:tcPr>
            <w:tcW w:w="1749" w:type="dxa"/>
            <w:vAlign w:val="center"/>
          </w:tcPr>
          <w:p w:rsidR="001B7F8B" w:rsidRDefault="001B7F8B" w:rsidP="001B7F8B">
            <w:pPr>
              <w:jc w:val="center"/>
            </w:pPr>
          </w:p>
        </w:tc>
      </w:tr>
    </w:tbl>
    <w:p w:rsidR="009F34A4" w:rsidRDefault="009F34A4" w:rsidP="009F34A4">
      <w:pPr>
        <w:pStyle w:val="Ttulo2"/>
      </w:pPr>
      <w:r>
        <w:t>Problem: Choose your crew</w:t>
      </w:r>
    </w:p>
    <w:p w:rsidR="009F34A4" w:rsidRDefault="009F34A4" w:rsidP="009F34A4">
      <w:r>
        <w:t>Successfully navigating the waters during sea voyages is a challenging task.  A captain’s most important decision is selecting the right crew for the voyage.  A mix of different skill sets are required to sail the ship efficiently, navigate to the destination, and fish for food along the way.</w:t>
      </w:r>
    </w:p>
    <w:p w:rsidR="009F34A4" w:rsidRDefault="004175A8" w:rsidP="004175A8">
      <w:pPr>
        <w:jc w:val="center"/>
      </w:pPr>
      <w:r>
        <w:rPr>
          <w:noProof/>
        </w:rPr>
        <w:drawing>
          <wp:inline distT="0" distB="0" distL="0" distR="0" wp14:anchorId="40C32FB0" wp14:editId="58756B32">
            <wp:extent cx="2695575" cy="2238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5575" cy="2238375"/>
                    </a:xfrm>
                    <a:prstGeom prst="rect">
                      <a:avLst/>
                    </a:prstGeom>
                  </pic:spPr>
                </pic:pic>
              </a:graphicData>
            </a:graphic>
          </wp:inline>
        </w:drawing>
      </w:r>
    </w:p>
    <w:p w:rsidR="009F34A4" w:rsidRDefault="009F34A4" w:rsidP="009F34A4">
      <w:r>
        <w:t>Table 1 shows a list of crew members that are available for you to hire for the voyage.  Each crew member demands a salary for the voyage and has different skill levels of Fishing, Sailing, and Navigation.</w:t>
      </w:r>
    </w:p>
    <w:p w:rsidR="009F34A4" w:rsidRDefault="009F34A4" w:rsidP="009F34A4">
      <w:r>
        <w:t>In order for your journey to be successful, you must have a cumulative skill of 15 or more in each of the three skill categories from all of your chosen crew members.  You may choose as many crew members as you like.</w:t>
      </w:r>
    </w:p>
    <w:p w:rsidR="009F34A4" w:rsidRDefault="009F34A4" w:rsidP="009F34A4">
      <w:pPr>
        <w:rPr>
          <w:b/>
        </w:rPr>
      </w:pPr>
      <w:r w:rsidRPr="00EC1356">
        <w:rPr>
          <w:b/>
        </w:rPr>
        <w:t xml:space="preserve">Q: </w:t>
      </w:r>
      <w:r w:rsidRPr="009F34A4">
        <w:rPr>
          <w:b/>
        </w:rPr>
        <w:t>What is the minimum achievable cost for the voyage</w:t>
      </w:r>
      <w:r w:rsidR="00BB0680">
        <w:rPr>
          <w:b/>
        </w:rPr>
        <w:t>?</w:t>
      </w:r>
    </w:p>
    <w:p w:rsidR="00736DC5" w:rsidRDefault="00736DC5" w:rsidP="009F34A4"/>
    <w:p w:rsidR="00736DC5" w:rsidRDefault="00736DC5" w:rsidP="009F34A4"/>
    <w:p w:rsidR="00736DC5" w:rsidRDefault="00736DC5" w:rsidP="009F34A4"/>
    <w:p w:rsidR="00736DC5" w:rsidRPr="009F34A4" w:rsidRDefault="00736DC5" w:rsidP="009F34A4"/>
    <w:p w:rsidR="00736DC5" w:rsidRDefault="00736DC5" w:rsidP="00736DC5">
      <w:r>
        <w:lastRenderedPageBreak/>
        <w:t>Nomenclature: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969"/>
      </w:tblGrid>
      <w:tr w:rsidR="00736DC5" w:rsidTr="00AF1B13">
        <w:tc>
          <w:tcPr>
            <w:tcW w:w="1525" w:type="dxa"/>
          </w:tcPr>
          <w:p w:rsidR="00736DC5" w:rsidRDefault="00736DC5" w:rsidP="00AF1B13">
            <w:r>
              <w:t>Sets:</w:t>
            </w:r>
          </w:p>
        </w:tc>
        <w:tc>
          <w:tcPr>
            <w:tcW w:w="6969" w:type="dxa"/>
          </w:tcPr>
          <w:p w:rsidR="00736DC5" w:rsidRDefault="00736DC5" w:rsidP="00AF1B13"/>
        </w:tc>
      </w:tr>
      <w:tr w:rsidR="00736DC5" w:rsidTr="00AF1B13">
        <w:tc>
          <w:tcPr>
            <w:tcW w:w="1525" w:type="dxa"/>
          </w:tcPr>
          <w:p w:rsidR="00736DC5" w:rsidRPr="00E662AF" w:rsidRDefault="00736DC5" w:rsidP="00AF1B13">
            <w:pPr>
              <w:jc w:val="both"/>
            </w:pPr>
            <m:oMathPara>
              <m:oMathParaPr>
                <m:jc m:val="left"/>
              </m:oMathParaPr>
              <m:oMath>
                <m:r>
                  <w:rPr>
                    <w:rFonts w:ascii="Cambria Math" w:hAnsi="Cambria Math"/>
                  </w:rPr>
                  <m:t>N</m:t>
                </m:r>
              </m:oMath>
            </m:oMathPara>
          </w:p>
        </w:tc>
        <w:tc>
          <w:tcPr>
            <w:tcW w:w="6969" w:type="dxa"/>
          </w:tcPr>
          <w:p w:rsidR="00736DC5" w:rsidRDefault="00736DC5" w:rsidP="00AF1B13">
            <w:r>
              <w:t xml:space="preserve">Set of </w:t>
            </w:r>
            <w:r w:rsidR="00416E6B">
              <w:t>crew members</w:t>
            </w:r>
          </w:p>
        </w:tc>
      </w:tr>
      <w:tr w:rsidR="00736DC5" w:rsidTr="00AF1B13">
        <w:tc>
          <w:tcPr>
            <w:tcW w:w="1525" w:type="dxa"/>
          </w:tcPr>
          <w:p w:rsidR="00736DC5" w:rsidRDefault="00736DC5" w:rsidP="00AF1B13">
            <w:pPr>
              <w:jc w:val="both"/>
              <w:rPr>
                <w:rFonts w:ascii="Calibri" w:eastAsia="Calibri" w:hAnsi="Calibri" w:cs="Arial"/>
              </w:rPr>
            </w:pPr>
            <w:r>
              <w:rPr>
                <w:rFonts w:ascii="Calibri" w:eastAsia="Calibri" w:hAnsi="Calibri" w:cs="Arial"/>
              </w:rPr>
              <w:t>Indexes:</w:t>
            </w:r>
          </w:p>
        </w:tc>
        <w:tc>
          <w:tcPr>
            <w:tcW w:w="6969" w:type="dxa"/>
          </w:tcPr>
          <w:p w:rsidR="00736DC5" w:rsidRDefault="00736DC5" w:rsidP="00AF1B13"/>
        </w:tc>
      </w:tr>
      <w:tr w:rsidR="00736DC5" w:rsidTr="00AF1B13">
        <w:tc>
          <w:tcPr>
            <w:tcW w:w="1525" w:type="dxa"/>
          </w:tcPr>
          <w:p w:rsidR="00736DC5" w:rsidRPr="00E662AF" w:rsidRDefault="00736DC5" w:rsidP="00AF1B13">
            <w:pPr>
              <w:jc w:val="both"/>
            </w:pPr>
            <m:oMathPara>
              <m:oMathParaPr>
                <m:jc m:val="left"/>
              </m:oMathParaPr>
              <m:oMath>
                <m:r>
                  <w:rPr>
                    <w:rFonts w:ascii="Cambria Math" w:hAnsi="Cambria Math"/>
                  </w:rPr>
                  <m:t>i</m:t>
                </m:r>
              </m:oMath>
            </m:oMathPara>
          </w:p>
        </w:tc>
        <w:tc>
          <w:tcPr>
            <w:tcW w:w="6969" w:type="dxa"/>
          </w:tcPr>
          <w:p w:rsidR="00736DC5" w:rsidRDefault="00736DC5" w:rsidP="00AF1B13">
            <w:r>
              <w:t xml:space="preserve">Index of </w:t>
            </w:r>
            <w:r w:rsidR="00D21B17">
              <w:t>crew member</w:t>
            </w:r>
          </w:p>
        </w:tc>
      </w:tr>
      <w:tr w:rsidR="00736DC5" w:rsidTr="00AF1B13">
        <w:tc>
          <w:tcPr>
            <w:tcW w:w="1525" w:type="dxa"/>
          </w:tcPr>
          <w:p w:rsidR="00736DC5" w:rsidRDefault="00736DC5" w:rsidP="00AF1B13">
            <w:pPr>
              <w:jc w:val="both"/>
              <w:rPr>
                <w:rFonts w:ascii="Calibri" w:eastAsia="Calibri" w:hAnsi="Calibri" w:cs="Arial"/>
              </w:rPr>
            </w:pPr>
            <w:r>
              <w:rPr>
                <w:rFonts w:ascii="Calibri" w:eastAsia="Calibri" w:hAnsi="Calibri" w:cs="Arial"/>
              </w:rPr>
              <w:t>Parameters:</w:t>
            </w:r>
          </w:p>
        </w:tc>
        <w:tc>
          <w:tcPr>
            <w:tcW w:w="6969" w:type="dxa"/>
          </w:tcPr>
          <w:p w:rsidR="00736DC5" w:rsidRDefault="00736DC5" w:rsidP="00AF1B13"/>
        </w:tc>
      </w:tr>
      <w:tr w:rsidR="00736DC5" w:rsidTr="00AF1B13">
        <w:tc>
          <w:tcPr>
            <w:tcW w:w="1525" w:type="dxa"/>
          </w:tcPr>
          <w:p w:rsidR="00736DC5"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c>
          <w:tcPr>
            <w:tcW w:w="6969" w:type="dxa"/>
          </w:tcPr>
          <w:p w:rsidR="00736DC5" w:rsidRDefault="00416E6B" w:rsidP="00AF1B13">
            <w:r>
              <w:t>Fishing skill of crew member</w:t>
            </w:r>
            <w:r w:rsidR="00736DC5">
              <w:t xml:space="preserve"> </w:t>
            </w:r>
            <m:oMath>
              <m:r>
                <w:rPr>
                  <w:rFonts w:ascii="Cambria Math" w:hAnsi="Cambria Math"/>
                </w:rPr>
                <m:t>i</m:t>
              </m:r>
            </m:oMath>
          </w:p>
        </w:tc>
      </w:tr>
      <w:tr w:rsidR="00736DC5" w:rsidTr="00AF1B13">
        <w:tc>
          <w:tcPr>
            <w:tcW w:w="1525" w:type="dxa"/>
          </w:tcPr>
          <w:p w:rsidR="00736DC5"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oMath>
            </m:oMathPara>
          </w:p>
        </w:tc>
        <w:tc>
          <w:tcPr>
            <w:tcW w:w="6969" w:type="dxa"/>
          </w:tcPr>
          <w:p w:rsidR="00736DC5" w:rsidRDefault="00416E6B" w:rsidP="00AF1B13">
            <w:r>
              <w:t>Sailing skill of crew member</w:t>
            </w:r>
            <w:r w:rsidR="00736DC5">
              <w:t xml:space="preserve"> </w:t>
            </w:r>
            <m:oMath>
              <m:r>
                <w:rPr>
                  <w:rFonts w:ascii="Cambria Math" w:hAnsi="Cambria Math"/>
                </w:rPr>
                <m:t>i</m:t>
              </m:r>
            </m:oMath>
          </w:p>
        </w:tc>
      </w:tr>
      <w:tr w:rsidR="00736DC5" w:rsidTr="00AF1B13">
        <w:tc>
          <w:tcPr>
            <w:tcW w:w="1525" w:type="dxa"/>
          </w:tcPr>
          <w:p w:rsidR="00736DC5"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6969" w:type="dxa"/>
          </w:tcPr>
          <w:p w:rsidR="00736DC5" w:rsidRDefault="00416E6B" w:rsidP="00AF1B13">
            <w:r>
              <w:t>Navigation skill of crew member</w:t>
            </w:r>
            <w:r w:rsidR="00736DC5">
              <w:t xml:space="preserve"> </w:t>
            </w:r>
            <m:oMath>
              <m:r>
                <w:rPr>
                  <w:rFonts w:ascii="Cambria Math" w:hAnsi="Cambria Math"/>
                </w:rPr>
                <m:t>i</m:t>
              </m:r>
            </m:oMath>
          </w:p>
        </w:tc>
      </w:tr>
      <w:tr w:rsidR="00736DC5" w:rsidTr="00AF1B13">
        <w:tc>
          <w:tcPr>
            <w:tcW w:w="1525" w:type="dxa"/>
          </w:tcPr>
          <w:p w:rsidR="00736DC5"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i</m:t>
                    </m:r>
                  </m:sub>
                </m:sSub>
              </m:oMath>
            </m:oMathPara>
          </w:p>
        </w:tc>
        <w:tc>
          <w:tcPr>
            <w:tcW w:w="6969" w:type="dxa"/>
          </w:tcPr>
          <w:p w:rsidR="00736DC5" w:rsidRDefault="00416E6B" w:rsidP="00AF1B13">
            <w:r>
              <w:t>Salary of crew member</w:t>
            </w:r>
            <w:r w:rsidR="00736DC5">
              <w:t xml:space="preserve"> </w:t>
            </w:r>
            <m:oMath>
              <m:r>
                <w:rPr>
                  <w:rFonts w:ascii="Cambria Math" w:hAnsi="Cambria Math"/>
                </w:rPr>
                <m:t>i</m:t>
              </m:r>
            </m:oMath>
          </w:p>
        </w:tc>
      </w:tr>
      <w:tr w:rsidR="00736DC5" w:rsidTr="00AF1B13">
        <w:tc>
          <w:tcPr>
            <w:tcW w:w="1525" w:type="dxa"/>
          </w:tcPr>
          <w:p w:rsidR="00736DC5" w:rsidRPr="00185686" w:rsidRDefault="00736DC5" w:rsidP="00AF1B13">
            <w:pPr>
              <w:jc w:val="both"/>
              <w:rPr>
                <w:rFonts w:ascii="Calibri" w:eastAsia="Calibri" w:hAnsi="Calibri" w:cs="Arial"/>
              </w:rPr>
            </w:pPr>
            <w:r>
              <w:rPr>
                <w:rFonts w:ascii="Calibri" w:eastAsia="Calibri" w:hAnsi="Calibri" w:cs="Arial"/>
              </w:rPr>
              <w:t>Variables:</w:t>
            </w:r>
          </w:p>
        </w:tc>
        <w:tc>
          <w:tcPr>
            <w:tcW w:w="6969" w:type="dxa"/>
          </w:tcPr>
          <w:p w:rsidR="00736DC5" w:rsidRDefault="00736DC5" w:rsidP="00AF1B13"/>
        </w:tc>
      </w:tr>
      <w:tr w:rsidR="00736DC5" w:rsidTr="00AF1B13">
        <w:tc>
          <w:tcPr>
            <w:tcW w:w="1525" w:type="dxa"/>
          </w:tcPr>
          <w:p w:rsidR="00736DC5" w:rsidRPr="00E662AF" w:rsidRDefault="007D3AA2" w:rsidP="00AF1B13">
            <w:pPr>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969" w:type="dxa"/>
          </w:tcPr>
          <w:p w:rsidR="00736DC5" w:rsidRDefault="00736DC5" w:rsidP="00AF1B13">
            <w:r>
              <w:t xml:space="preserve">Binary variable of </w:t>
            </w:r>
            <w:r w:rsidR="00D279AA">
              <w:t>crew member</w:t>
            </w:r>
            <w:r>
              <w:t xml:space="preserve"> </w:t>
            </w:r>
            <m:oMath>
              <m:r>
                <w:rPr>
                  <w:rFonts w:ascii="Cambria Math" w:hAnsi="Cambria Math"/>
                </w:rPr>
                <m:t>i</m:t>
              </m:r>
            </m:oMath>
          </w:p>
        </w:tc>
      </w:tr>
    </w:tbl>
    <w:p w:rsidR="00736DC5" w:rsidRDefault="00736DC5" w:rsidP="00736DC5"/>
    <w:p w:rsidR="00736DC5" w:rsidRDefault="00736DC5" w:rsidP="00736DC5"/>
    <w:p w:rsidR="00736DC5" w:rsidRDefault="00736DC5" w:rsidP="00736DC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1749"/>
      </w:tblGrid>
      <w:tr w:rsidR="00736DC5" w:rsidTr="00AF1B13">
        <w:trPr>
          <w:trHeight w:val="720"/>
        </w:trPr>
        <w:tc>
          <w:tcPr>
            <w:tcW w:w="6745" w:type="dxa"/>
            <w:vAlign w:val="center"/>
          </w:tcPr>
          <w:p w:rsidR="00736DC5" w:rsidRDefault="007D3AA2" w:rsidP="00AF1B13">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i</m:t>
                            </m:r>
                          </m:sub>
                        </m:sSub>
                      </m:lim>
                    </m:limLow>
                  </m:fName>
                  <m:e>
                    <m:nary>
                      <m:naryPr>
                        <m:chr m:val="∑"/>
                        <m:limLoc m:val="undOvr"/>
                        <m:supHide m:val="1"/>
                        <m:ctrlPr>
                          <w:rPr>
                            <w:rFonts w:ascii="Cambria Math" w:hAnsi="Cambria Math"/>
                            <w:i/>
                          </w:rPr>
                        </m:ctrlPr>
                      </m:naryPr>
                      <m:sub>
                        <m:r>
                          <w:rPr>
                            <w:rFonts w:ascii="Cambria Math" w:hAnsi="Cambria Math"/>
                          </w:rPr>
                          <m:t>i∈</m:t>
                        </m:r>
                        <m:r>
                          <w:rPr>
                            <w:rFonts w:ascii="Cambria Math" w:hAnsi="Cambria Math"/>
                          </w:rPr>
                          <m:t>N</m:t>
                        </m:r>
                      </m:sub>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m:oMathPara>
          </w:p>
        </w:tc>
        <w:tc>
          <w:tcPr>
            <w:tcW w:w="1749" w:type="dxa"/>
            <w:vAlign w:val="center"/>
          </w:tcPr>
          <w:p w:rsidR="00736DC5" w:rsidRDefault="00736DC5" w:rsidP="00AF1B13">
            <w:pPr>
              <w:jc w:val="center"/>
            </w:pPr>
          </w:p>
        </w:tc>
      </w:tr>
      <w:tr w:rsidR="00736DC5" w:rsidTr="00AF1B13">
        <w:trPr>
          <w:trHeight w:val="720"/>
        </w:trPr>
        <w:tc>
          <w:tcPr>
            <w:tcW w:w="6745" w:type="dxa"/>
            <w:vAlign w:val="center"/>
          </w:tcPr>
          <w:p w:rsidR="00736DC5" w:rsidRDefault="007D3AA2" w:rsidP="00AF1B13">
            <w:pPr>
              <w:jc w:val="center"/>
            </w:pPr>
            <m:oMathPara>
              <m:oMath>
                <m:nary>
                  <m:naryPr>
                    <m:chr m:val="∑"/>
                    <m:limLoc m:val="undOvr"/>
                    <m:supHide m:val="1"/>
                    <m:ctrlPr>
                      <w:rPr>
                        <w:rFonts w:ascii="Cambria Math" w:hAnsi="Cambria Math"/>
                        <w:i/>
                      </w:rPr>
                    </m:ctrlPr>
                  </m:naryPr>
                  <m:sub>
                    <m:r>
                      <w:rPr>
                        <w:rFonts w:ascii="Cambria Math" w:hAnsi="Cambria Math"/>
                      </w:rPr>
                      <m:t>i∈</m:t>
                    </m:r>
                    <m:r>
                      <w:rPr>
                        <w:rFonts w:ascii="Cambria Math" w:hAnsi="Cambria Math"/>
                      </w:rPr>
                      <m:t>N</m:t>
                    </m:r>
                  </m:sub>
                  <m:sup/>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&gt;=</m:t>
                </m:r>
                <m:r>
                  <w:rPr>
                    <w:rFonts w:ascii="Cambria Math" w:hAnsi="Cambria Math"/>
                  </w:rPr>
                  <m:t>15</m:t>
                </m:r>
              </m:oMath>
            </m:oMathPara>
          </w:p>
        </w:tc>
        <w:tc>
          <w:tcPr>
            <w:tcW w:w="1749" w:type="dxa"/>
            <w:vAlign w:val="center"/>
          </w:tcPr>
          <w:p w:rsidR="00736DC5" w:rsidRDefault="00736DC5" w:rsidP="00AF1B13">
            <w:pPr>
              <w:jc w:val="center"/>
            </w:pPr>
          </w:p>
        </w:tc>
      </w:tr>
      <w:tr w:rsidR="00736DC5" w:rsidTr="00AF1B13">
        <w:trPr>
          <w:trHeight w:val="720"/>
        </w:trPr>
        <w:tc>
          <w:tcPr>
            <w:tcW w:w="6745" w:type="dxa"/>
            <w:vAlign w:val="center"/>
          </w:tcPr>
          <w:p w:rsidR="00736DC5" w:rsidRDefault="00666B76" w:rsidP="00AF1B13">
            <w:pPr>
              <w:jc w:val="center"/>
            </w:pPr>
            <m:oMathPara>
              <m:oMath>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s</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&gt;=15</m:t>
                </m:r>
              </m:oMath>
            </m:oMathPara>
          </w:p>
        </w:tc>
        <w:tc>
          <w:tcPr>
            <w:tcW w:w="1749" w:type="dxa"/>
            <w:vAlign w:val="center"/>
          </w:tcPr>
          <w:p w:rsidR="00736DC5" w:rsidRDefault="00736DC5" w:rsidP="00AF1B13">
            <w:pPr>
              <w:jc w:val="center"/>
            </w:pPr>
          </w:p>
        </w:tc>
      </w:tr>
      <w:tr w:rsidR="00736DC5" w:rsidTr="00AF1B13">
        <w:trPr>
          <w:trHeight w:val="720"/>
        </w:trPr>
        <w:tc>
          <w:tcPr>
            <w:tcW w:w="6745" w:type="dxa"/>
            <w:vAlign w:val="center"/>
          </w:tcPr>
          <w:p w:rsidR="00736DC5" w:rsidRDefault="00666B76" w:rsidP="00AF1B13">
            <w:pPr>
              <w:jc w:val="center"/>
            </w:pPr>
            <m:oMathPara>
              <m:oMath>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&gt;=15</m:t>
                </m:r>
              </m:oMath>
            </m:oMathPara>
          </w:p>
        </w:tc>
        <w:tc>
          <w:tcPr>
            <w:tcW w:w="1749" w:type="dxa"/>
            <w:vAlign w:val="center"/>
          </w:tcPr>
          <w:p w:rsidR="00736DC5" w:rsidRDefault="00736DC5" w:rsidP="00AF1B13">
            <w:pPr>
              <w:jc w:val="center"/>
            </w:pPr>
          </w:p>
        </w:tc>
      </w:tr>
      <w:tr w:rsidR="00736DC5" w:rsidTr="00AF1B13">
        <w:trPr>
          <w:trHeight w:val="720"/>
        </w:trPr>
        <w:tc>
          <w:tcPr>
            <w:tcW w:w="6745" w:type="dxa"/>
            <w:vAlign w:val="center"/>
          </w:tcPr>
          <w:p w:rsidR="00736DC5" w:rsidRDefault="002F4940" w:rsidP="00AF1B1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tc>
        <w:tc>
          <w:tcPr>
            <w:tcW w:w="1749" w:type="dxa"/>
            <w:vAlign w:val="center"/>
          </w:tcPr>
          <w:p w:rsidR="00736DC5" w:rsidRDefault="00736DC5" w:rsidP="00AF1B13">
            <w:pPr>
              <w:jc w:val="center"/>
            </w:pPr>
          </w:p>
        </w:tc>
      </w:tr>
    </w:tbl>
    <w:p w:rsidR="00C12644" w:rsidRDefault="00C12644" w:rsidP="00C12644">
      <w:pPr>
        <w:pStyle w:val="Ttulo2"/>
      </w:pPr>
      <w:r>
        <w:t xml:space="preserve">Problem: </w:t>
      </w:r>
      <w:r w:rsidR="00BB0680">
        <w:t>Combinations locks</w:t>
      </w:r>
    </w:p>
    <w:p w:rsidR="00BB0680" w:rsidRDefault="00BB0680" w:rsidP="00BB0680">
      <w:r>
        <w:t>Many people store their valuables in home safes because they protect against burglaries and fires.  They are a good place for storing insurance documents, car titles, cash, and many other valuables.</w:t>
      </w:r>
    </w:p>
    <w:p w:rsidR="00BB0680" w:rsidRDefault="00BB0680" w:rsidP="00BB0680">
      <w:r>
        <w:t xml:space="preserve">Figure 1 shows six dials that are on the front of your home safe.  In order to open the safe, you must set each of the dials to one number.  When the correct numbers are selected on each dial, the safe will open.  </w:t>
      </w:r>
      <w:r>
        <w:t>Unfortunately,</w:t>
      </w:r>
      <w:r>
        <w:t xml:space="preserve"> you have forgotten the combination.  All you can remember is that the numbers on all of the dials summed to 419.</w:t>
      </w:r>
    </w:p>
    <w:p w:rsidR="00C12644" w:rsidRDefault="00BB0680" w:rsidP="00BB0680">
      <w:r>
        <w:rPr>
          <w:noProof/>
        </w:rPr>
        <w:drawing>
          <wp:inline distT="0" distB="0" distL="0" distR="0" wp14:anchorId="29FA92DE" wp14:editId="34AD1727">
            <wp:extent cx="5029200" cy="99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200" cy="990600"/>
                    </a:xfrm>
                    <a:prstGeom prst="rect">
                      <a:avLst/>
                    </a:prstGeom>
                  </pic:spPr>
                </pic:pic>
              </a:graphicData>
            </a:graphic>
          </wp:inline>
        </w:drawing>
      </w:r>
    </w:p>
    <w:p w:rsidR="00C12644" w:rsidRDefault="00C12644" w:rsidP="00C12644">
      <w:pPr>
        <w:rPr>
          <w:b/>
        </w:rPr>
      </w:pPr>
      <w:r w:rsidRPr="00EC1356">
        <w:rPr>
          <w:b/>
        </w:rPr>
        <w:t xml:space="preserve">Q: </w:t>
      </w:r>
      <w:r w:rsidR="00BB0680" w:rsidRPr="00BB0680">
        <w:rPr>
          <w:b/>
        </w:rPr>
        <w:t>What numbers should you select in order to unlock the safe</w:t>
      </w:r>
      <w:r w:rsidR="00BB0680">
        <w:rPr>
          <w:b/>
        </w:rPr>
        <w:t>?</w:t>
      </w:r>
    </w:p>
    <w:p w:rsidR="00C12644" w:rsidRDefault="00C12644" w:rsidP="00C12644"/>
    <w:p w:rsidR="00C12644" w:rsidRDefault="00C12644" w:rsidP="00C12644"/>
    <w:p w:rsidR="00C12644" w:rsidRDefault="00C12644" w:rsidP="00C12644"/>
    <w:p w:rsidR="00C12644" w:rsidRPr="009F34A4" w:rsidRDefault="00C12644" w:rsidP="00C12644"/>
    <w:p w:rsidR="00C12644" w:rsidRDefault="00C12644" w:rsidP="00C12644">
      <w:r>
        <w:t>Nomenclature: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969"/>
      </w:tblGrid>
      <w:tr w:rsidR="00C12644" w:rsidTr="00EF5195">
        <w:tc>
          <w:tcPr>
            <w:tcW w:w="1525" w:type="dxa"/>
          </w:tcPr>
          <w:p w:rsidR="00C12644" w:rsidRDefault="00C12644" w:rsidP="001A067A">
            <w:r>
              <w:t>Sets:</w:t>
            </w:r>
          </w:p>
        </w:tc>
        <w:tc>
          <w:tcPr>
            <w:tcW w:w="6969" w:type="dxa"/>
          </w:tcPr>
          <w:p w:rsidR="00C12644" w:rsidRDefault="00C12644" w:rsidP="001A067A"/>
        </w:tc>
      </w:tr>
      <w:tr w:rsidR="00C12644" w:rsidTr="00EF5195">
        <w:tc>
          <w:tcPr>
            <w:tcW w:w="1525" w:type="dxa"/>
          </w:tcPr>
          <w:p w:rsidR="00C12644" w:rsidRPr="00E662AF" w:rsidRDefault="00C12644" w:rsidP="001A067A">
            <w:pPr>
              <w:jc w:val="both"/>
            </w:pPr>
            <m:oMathPara>
              <m:oMathParaPr>
                <m:jc m:val="left"/>
              </m:oMathParaPr>
              <m:oMath>
                <m:r>
                  <w:rPr>
                    <w:rFonts w:ascii="Cambria Math" w:hAnsi="Cambria Math"/>
                  </w:rPr>
                  <m:t>N</m:t>
                </m:r>
              </m:oMath>
            </m:oMathPara>
          </w:p>
        </w:tc>
        <w:tc>
          <w:tcPr>
            <w:tcW w:w="6969" w:type="dxa"/>
          </w:tcPr>
          <w:p w:rsidR="00D21B17" w:rsidRDefault="00C12644" w:rsidP="001A067A">
            <w:r>
              <w:t xml:space="preserve">Set of </w:t>
            </w:r>
            <w:r w:rsidR="00D21B17">
              <w:t>dials</w:t>
            </w:r>
          </w:p>
        </w:tc>
      </w:tr>
      <w:tr w:rsidR="00D21B17" w:rsidTr="00EF5195">
        <w:tc>
          <w:tcPr>
            <w:tcW w:w="1525" w:type="dxa"/>
          </w:tcPr>
          <w:p w:rsidR="00D21B17" w:rsidRPr="00E662AF" w:rsidRDefault="00D21B17" w:rsidP="00D21B17">
            <w:pPr>
              <w:jc w:val="both"/>
            </w:pPr>
            <m:oMathPara>
              <m:oMathParaPr>
                <m:jc m:val="left"/>
              </m:oMathParaPr>
              <m:oMath>
                <m:r>
                  <w:rPr>
                    <w:rFonts w:ascii="Cambria Math" w:hAnsi="Cambria Math"/>
                  </w:rPr>
                  <m:t>P</m:t>
                </m:r>
              </m:oMath>
            </m:oMathPara>
          </w:p>
        </w:tc>
        <w:tc>
          <w:tcPr>
            <w:tcW w:w="6969" w:type="dxa"/>
          </w:tcPr>
          <w:p w:rsidR="00D21B17" w:rsidRDefault="00D21B17" w:rsidP="00D21B17">
            <w:r>
              <w:t xml:space="preserve">Set of </w:t>
            </w:r>
            <w:r w:rsidR="00D60021">
              <w:t>options</w:t>
            </w:r>
            <w:r>
              <w:t xml:space="preserve"> on each dial</w:t>
            </w:r>
          </w:p>
        </w:tc>
      </w:tr>
      <w:tr w:rsidR="00D21B17" w:rsidTr="00EF5195">
        <w:tc>
          <w:tcPr>
            <w:tcW w:w="1525" w:type="dxa"/>
          </w:tcPr>
          <w:p w:rsidR="00D21B17" w:rsidRDefault="00D21B17" w:rsidP="00D21B17">
            <w:pPr>
              <w:jc w:val="both"/>
              <w:rPr>
                <w:rFonts w:ascii="Calibri" w:eastAsia="Calibri" w:hAnsi="Calibri" w:cs="Arial"/>
              </w:rPr>
            </w:pPr>
            <w:r>
              <w:rPr>
                <w:rFonts w:ascii="Calibri" w:eastAsia="Calibri" w:hAnsi="Calibri" w:cs="Arial"/>
              </w:rPr>
              <w:t>Indexes:</w:t>
            </w:r>
          </w:p>
        </w:tc>
        <w:tc>
          <w:tcPr>
            <w:tcW w:w="6969" w:type="dxa"/>
          </w:tcPr>
          <w:p w:rsidR="00D21B17" w:rsidRDefault="00D21B17" w:rsidP="00D21B17"/>
        </w:tc>
      </w:tr>
      <w:tr w:rsidR="00D21B17" w:rsidTr="00EF5195">
        <w:tc>
          <w:tcPr>
            <w:tcW w:w="1525" w:type="dxa"/>
          </w:tcPr>
          <w:p w:rsidR="00D21B17" w:rsidRPr="00E662AF" w:rsidRDefault="00D21B17" w:rsidP="00D21B17">
            <w:pPr>
              <w:jc w:val="both"/>
            </w:pPr>
            <m:oMathPara>
              <m:oMathParaPr>
                <m:jc m:val="left"/>
              </m:oMathParaPr>
              <m:oMath>
                <m:r>
                  <w:rPr>
                    <w:rFonts w:ascii="Cambria Math" w:hAnsi="Cambria Math"/>
                  </w:rPr>
                  <m:t>i</m:t>
                </m:r>
              </m:oMath>
            </m:oMathPara>
          </w:p>
        </w:tc>
        <w:tc>
          <w:tcPr>
            <w:tcW w:w="6969" w:type="dxa"/>
          </w:tcPr>
          <w:p w:rsidR="00D21B17" w:rsidRDefault="00D21B17" w:rsidP="00D21B17">
            <w:r>
              <w:t xml:space="preserve">Index of </w:t>
            </w:r>
            <w:r>
              <w:t>dial</w:t>
            </w:r>
          </w:p>
        </w:tc>
      </w:tr>
      <w:tr w:rsidR="00E35885" w:rsidTr="00EF5195">
        <w:tc>
          <w:tcPr>
            <w:tcW w:w="1525" w:type="dxa"/>
          </w:tcPr>
          <w:p w:rsidR="00E35885" w:rsidRPr="00E662AF" w:rsidRDefault="00E35885" w:rsidP="00E35885">
            <w:pPr>
              <w:jc w:val="both"/>
            </w:pPr>
            <m:oMathPara>
              <m:oMathParaPr>
                <m:jc m:val="left"/>
              </m:oMathParaPr>
              <m:oMath>
                <m:r>
                  <w:rPr>
                    <w:rFonts w:ascii="Cambria Math" w:hAnsi="Cambria Math"/>
                  </w:rPr>
                  <m:t>p</m:t>
                </m:r>
              </m:oMath>
            </m:oMathPara>
          </w:p>
        </w:tc>
        <w:tc>
          <w:tcPr>
            <w:tcW w:w="6969" w:type="dxa"/>
          </w:tcPr>
          <w:p w:rsidR="00E35885" w:rsidRDefault="00E35885" w:rsidP="00E35885">
            <w:r>
              <w:t xml:space="preserve">Index of </w:t>
            </w:r>
            <w:r>
              <w:t>options</w:t>
            </w:r>
          </w:p>
        </w:tc>
      </w:tr>
      <w:tr w:rsidR="00E35885" w:rsidTr="00EF5195">
        <w:tc>
          <w:tcPr>
            <w:tcW w:w="1525" w:type="dxa"/>
          </w:tcPr>
          <w:p w:rsidR="00E35885" w:rsidRDefault="00E35885" w:rsidP="00E35885">
            <w:pPr>
              <w:jc w:val="both"/>
              <w:rPr>
                <w:rFonts w:ascii="Calibri" w:eastAsia="Calibri" w:hAnsi="Calibri" w:cs="Arial"/>
              </w:rPr>
            </w:pPr>
            <w:r>
              <w:rPr>
                <w:rFonts w:ascii="Calibri" w:eastAsia="Calibri" w:hAnsi="Calibri" w:cs="Arial"/>
              </w:rPr>
              <w:t>Parameters:</w:t>
            </w:r>
          </w:p>
        </w:tc>
        <w:tc>
          <w:tcPr>
            <w:tcW w:w="6969" w:type="dxa"/>
          </w:tcPr>
          <w:p w:rsidR="00E35885" w:rsidRDefault="00E35885" w:rsidP="00E35885"/>
        </w:tc>
      </w:tr>
      <w:tr w:rsidR="00E35885" w:rsidTr="00EF5195">
        <w:tc>
          <w:tcPr>
            <w:tcW w:w="1525" w:type="dxa"/>
          </w:tcPr>
          <w:p w:rsidR="00E35885" w:rsidRPr="00E662AF" w:rsidRDefault="00E35885" w:rsidP="00E35885">
            <w:pPr>
              <w:jc w:val="both"/>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,p</m:t>
                    </m:r>
                  </m:sub>
                </m:sSub>
              </m:oMath>
            </m:oMathPara>
          </w:p>
        </w:tc>
        <w:tc>
          <w:tcPr>
            <w:tcW w:w="6969" w:type="dxa"/>
          </w:tcPr>
          <w:p w:rsidR="00E35885" w:rsidRDefault="00E35885" w:rsidP="00E35885">
            <w:r>
              <w:t>Option</w:t>
            </w:r>
            <w:r>
              <w:t xml:space="preserve"> </w:t>
            </w:r>
            <m:oMath>
              <m:r>
                <w:rPr>
                  <w:rFonts w:ascii="Cambria Math" w:hAnsi="Cambria Math"/>
                </w:rPr>
                <m:t>p</m:t>
              </m:r>
            </m:oMath>
            <w:r>
              <w:rPr>
                <w:rFonts w:eastAsiaTheme="minorEastAsia"/>
              </w:rPr>
              <w:t xml:space="preserve"> at dial </w:t>
            </w:r>
            <m:oMath>
              <m:r>
                <w:rPr>
                  <w:rFonts w:ascii="Cambria Math" w:eastAsiaTheme="minorEastAsia" w:hAnsi="Cambria Math"/>
                </w:rPr>
                <m:t>i</m:t>
              </m:r>
            </m:oMath>
          </w:p>
        </w:tc>
      </w:tr>
      <w:tr w:rsidR="00E35885" w:rsidTr="00EF5195">
        <w:tc>
          <w:tcPr>
            <w:tcW w:w="1525" w:type="dxa"/>
          </w:tcPr>
          <w:p w:rsidR="00E35885" w:rsidRPr="00185686" w:rsidRDefault="00E35885" w:rsidP="00E35885">
            <w:pPr>
              <w:jc w:val="both"/>
              <w:rPr>
                <w:rFonts w:ascii="Calibri" w:eastAsia="Calibri" w:hAnsi="Calibri" w:cs="Arial"/>
              </w:rPr>
            </w:pPr>
            <w:r>
              <w:rPr>
                <w:rFonts w:ascii="Calibri" w:eastAsia="Calibri" w:hAnsi="Calibri" w:cs="Arial"/>
              </w:rPr>
              <w:t>Variables:</w:t>
            </w:r>
          </w:p>
        </w:tc>
        <w:tc>
          <w:tcPr>
            <w:tcW w:w="6969" w:type="dxa"/>
          </w:tcPr>
          <w:p w:rsidR="00E35885" w:rsidRDefault="00E35885" w:rsidP="00E35885"/>
        </w:tc>
      </w:tr>
      <w:tr w:rsidR="00E35885" w:rsidTr="00EF5195">
        <w:tc>
          <w:tcPr>
            <w:tcW w:w="1525" w:type="dxa"/>
          </w:tcPr>
          <w:p w:rsidR="00E35885" w:rsidRPr="00E662AF" w:rsidRDefault="00E35885" w:rsidP="00E35885">
            <w:pPr>
              <w:jc w:val="both"/>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,p</m:t>
                    </m:r>
                  </m:sub>
                </m:sSub>
              </m:oMath>
            </m:oMathPara>
          </w:p>
        </w:tc>
        <w:tc>
          <w:tcPr>
            <w:tcW w:w="6969" w:type="dxa"/>
          </w:tcPr>
          <w:p w:rsidR="00E35885" w:rsidRDefault="00E35885" w:rsidP="00E35885">
            <w:r>
              <w:t xml:space="preserve">Binary variable </w:t>
            </w:r>
            <w:r>
              <w:t>for option</w:t>
            </w:r>
            <w:r>
              <w:t xml:space="preserve"> </w:t>
            </w:r>
            <m:oMath>
              <m:r>
                <w:rPr>
                  <w:rFonts w:ascii="Cambria Math" w:hAnsi="Cambria Math"/>
                </w:rPr>
                <m:t>p</m:t>
              </m:r>
            </m:oMath>
            <w:r>
              <w:rPr>
                <w:rFonts w:eastAsiaTheme="minorEastAsia"/>
              </w:rPr>
              <w:t xml:space="preserve"> at dial </w:t>
            </w:r>
            <m:oMath>
              <m:r>
                <w:rPr>
                  <w:rFonts w:ascii="Cambria Math" w:eastAsiaTheme="minorEastAsia" w:hAnsi="Cambria Math"/>
                </w:rPr>
                <m:t>i</m:t>
              </m:r>
            </m:oMath>
          </w:p>
        </w:tc>
      </w:tr>
      <w:tr w:rsidR="00EF5195" w:rsidTr="00EF5195">
        <w:tc>
          <w:tcPr>
            <w:tcW w:w="1525" w:type="dxa"/>
          </w:tcPr>
          <w:p w:rsidR="00EF5195" w:rsidRPr="00E662AF" w:rsidRDefault="00EF5195" w:rsidP="001A067A">
            <w:pPr>
              <w:jc w:val="both"/>
            </w:pPr>
            <m:oMathPara>
              <m:oMathParaPr>
                <m:jc m:val="left"/>
              </m:oMathParaPr>
              <m:oMath>
                <m:r>
                  <w:rPr>
                    <w:rFonts w:ascii="Cambria Math" w:hAnsi="Cambria Math"/>
                  </w:rPr>
                  <m:t>α</m:t>
                </m:r>
              </m:oMath>
            </m:oMathPara>
          </w:p>
        </w:tc>
        <w:tc>
          <w:tcPr>
            <w:tcW w:w="6969" w:type="dxa"/>
          </w:tcPr>
          <w:p w:rsidR="00EF5195" w:rsidRDefault="00EF5195" w:rsidP="001A067A">
            <w:r>
              <w:t>Clearance v</w:t>
            </w:r>
            <w:r>
              <w:t>ariable</w:t>
            </w:r>
          </w:p>
        </w:tc>
      </w:tr>
    </w:tbl>
    <w:p w:rsidR="00C12644" w:rsidRDefault="00C12644" w:rsidP="00C12644"/>
    <w:p w:rsidR="00C12644" w:rsidRDefault="00C12644" w:rsidP="00C12644"/>
    <w:p w:rsidR="00C12644" w:rsidRDefault="00C12644" w:rsidP="00C126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5"/>
        <w:gridCol w:w="1749"/>
      </w:tblGrid>
      <w:tr w:rsidR="00C12644" w:rsidTr="001A067A">
        <w:trPr>
          <w:trHeight w:val="720"/>
        </w:trPr>
        <w:tc>
          <w:tcPr>
            <w:tcW w:w="6745" w:type="dxa"/>
            <w:vAlign w:val="center"/>
          </w:tcPr>
          <w:p w:rsidR="00C12644" w:rsidRDefault="00C12644" w:rsidP="001A067A">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α</m:t>
                        </m:r>
                      </m:lim>
                    </m:limLow>
                  </m:fName>
                  <m:e>
                    <m:r>
                      <w:rPr>
                        <w:rFonts w:ascii="Cambria Math" w:hAnsi="Cambria Math"/>
                      </w:rPr>
                      <m:t>α</m:t>
                    </m:r>
                  </m:e>
                </m:func>
              </m:oMath>
            </m:oMathPara>
            <w:bookmarkStart w:id="0" w:name="_GoBack"/>
            <w:bookmarkEnd w:id="0"/>
          </w:p>
        </w:tc>
        <w:tc>
          <w:tcPr>
            <w:tcW w:w="1749" w:type="dxa"/>
            <w:vAlign w:val="center"/>
          </w:tcPr>
          <w:p w:rsidR="00C12644" w:rsidRDefault="00C12644" w:rsidP="001A067A">
            <w:pPr>
              <w:jc w:val="center"/>
            </w:pPr>
          </w:p>
        </w:tc>
      </w:tr>
      <w:tr w:rsidR="00C12644" w:rsidTr="001A067A">
        <w:trPr>
          <w:trHeight w:val="720"/>
        </w:trPr>
        <w:tc>
          <w:tcPr>
            <w:tcW w:w="6745" w:type="dxa"/>
            <w:vAlign w:val="center"/>
          </w:tcPr>
          <w:p w:rsidR="00C12644" w:rsidRDefault="00C12644" w:rsidP="001A067A">
            <w:pPr>
              <w:jc w:val="center"/>
            </w:pPr>
            <m:oMathPara>
              <m:oMath>
                <m:nary>
                  <m:naryPr>
                    <m:chr m:val="∑"/>
                    <m:limLoc m:val="undOvr"/>
                    <m:supHide m:val="1"/>
                    <m:ctrlPr>
                      <w:rPr>
                        <w:rFonts w:ascii="Cambria Math" w:hAnsi="Cambria Math"/>
                        <w:i/>
                      </w:rPr>
                    </m:ctrlPr>
                  </m:naryPr>
                  <m:sub>
                    <m:r>
                      <w:rPr>
                        <w:rFonts w:ascii="Cambria Math" w:hAnsi="Cambria Math"/>
                      </w:rPr>
                      <m:t>i∈N</m:t>
                    </m:r>
                    <m:r>
                      <w:rPr>
                        <w:rFonts w:ascii="Cambria Math" w:hAnsi="Cambria Math"/>
                      </w:rPr>
                      <m:t>,p∈P</m:t>
                    </m:r>
                  </m:sub>
                  <m:sup/>
                  <m:e>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,p</m:t>
                        </m:r>
                      </m:sub>
                    </m:sSub>
                  </m:e>
                </m:nary>
                <m:r>
                  <w:rPr>
                    <w:rFonts w:ascii="Cambria Math" w:hAnsi="Cambria Math"/>
                  </w:rPr>
                  <m:t>=</m:t>
                </m:r>
                <m:r>
                  <w:rPr>
                    <w:rFonts w:ascii="Cambria Math" w:hAnsi="Cambria Math"/>
                  </w:rPr>
                  <m:t>419</m:t>
                </m:r>
              </m:oMath>
            </m:oMathPara>
          </w:p>
        </w:tc>
        <w:tc>
          <w:tcPr>
            <w:tcW w:w="1749" w:type="dxa"/>
            <w:vAlign w:val="center"/>
          </w:tcPr>
          <w:p w:rsidR="00C12644" w:rsidRDefault="00C12644" w:rsidP="00EF5195"/>
        </w:tc>
      </w:tr>
      <w:tr w:rsidR="00C12644" w:rsidTr="001A067A">
        <w:trPr>
          <w:trHeight w:val="720"/>
        </w:trPr>
        <w:tc>
          <w:tcPr>
            <w:tcW w:w="6745" w:type="dxa"/>
            <w:vAlign w:val="center"/>
          </w:tcPr>
          <w:p w:rsidR="00C12644" w:rsidRDefault="00C12644" w:rsidP="001A067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e>
                </m:d>
              </m:oMath>
            </m:oMathPara>
          </w:p>
        </w:tc>
        <w:tc>
          <w:tcPr>
            <w:tcW w:w="1749" w:type="dxa"/>
            <w:vAlign w:val="center"/>
          </w:tcPr>
          <w:p w:rsidR="00C12644" w:rsidRDefault="00C12644" w:rsidP="001A067A">
            <w:pPr>
              <w:jc w:val="center"/>
            </w:pPr>
          </w:p>
        </w:tc>
      </w:tr>
    </w:tbl>
    <w:p w:rsidR="003779F2" w:rsidRPr="005A754E" w:rsidRDefault="003779F2" w:rsidP="00EC1356"/>
    <w:sectPr w:rsidR="003779F2" w:rsidRPr="005A754E" w:rsidSect="00E949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356"/>
    <w:rsid w:val="00100A73"/>
    <w:rsid w:val="0010205F"/>
    <w:rsid w:val="001B7F8B"/>
    <w:rsid w:val="002B4856"/>
    <w:rsid w:val="002D0435"/>
    <w:rsid w:val="002F4940"/>
    <w:rsid w:val="003779F2"/>
    <w:rsid w:val="00416E6B"/>
    <w:rsid w:val="004175A8"/>
    <w:rsid w:val="005A754E"/>
    <w:rsid w:val="005C2D89"/>
    <w:rsid w:val="0061065F"/>
    <w:rsid w:val="00666B76"/>
    <w:rsid w:val="00703960"/>
    <w:rsid w:val="00736DC5"/>
    <w:rsid w:val="007D3AA2"/>
    <w:rsid w:val="009F34A4"/>
    <w:rsid w:val="00AB19C3"/>
    <w:rsid w:val="00BB0680"/>
    <w:rsid w:val="00C12644"/>
    <w:rsid w:val="00C676B6"/>
    <w:rsid w:val="00D21B17"/>
    <w:rsid w:val="00D279AA"/>
    <w:rsid w:val="00D60021"/>
    <w:rsid w:val="00DA12D7"/>
    <w:rsid w:val="00E35885"/>
    <w:rsid w:val="00E662AF"/>
    <w:rsid w:val="00E949EC"/>
    <w:rsid w:val="00EC1356"/>
    <w:rsid w:val="00EF519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1096"/>
  <w15:chartTrackingRefBased/>
  <w15:docId w15:val="{9C4097C4-12FF-4200-BC9C-7F6667DD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C2D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02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0205F"/>
    <w:rPr>
      <w:color w:val="808080"/>
    </w:rPr>
  </w:style>
  <w:style w:type="character" w:customStyle="1" w:styleId="Ttulo2Car">
    <w:name w:val="Título 2 Car"/>
    <w:basedOn w:val="Fuentedeprrafopredeter"/>
    <w:link w:val="Ttulo2"/>
    <w:uiPriority w:val="9"/>
    <w:rsid w:val="005C2D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550</Words>
  <Characters>3136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Francisco Álvarez Quispe</dc:creator>
  <cp:keywords/>
  <dc:description/>
  <cp:lastModifiedBy>Erik Francisco Álvarez Quispe</cp:lastModifiedBy>
  <cp:revision>20</cp:revision>
  <dcterms:created xsi:type="dcterms:W3CDTF">2019-10-21T08:08:00Z</dcterms:created>
  <dcterms:modified xsi:type="dcterms:W3CDTF">2019-10-21T13:44:00Z</dcterms:modified>
</cp:coreProperties>
</file>