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This agreement is entered into as of January 1, 2026, between Acme Corp ("Provider") and Beta Inc ("Customer").</w:t>
      </w:r>
    </w:p>
    <w:p>
      <w:pPr>
        <w:pStyle w:val="Heading2"/>
      </w:pPr>
      <w:r>
        <w:t>1. LIABILITY</w:t>
      </w:r>
    </w:p>
    <w:p>
      <w:r>
        <w:t>Each party's total liability under this agreement shall not exceed USD 100,000. In no event shall either party be liable for any indirect, incidental, special, or consequential damages arising out of or related to this agreement.</w:t>
      </w:r>
    </w:p>
    <w:p>
      <w:pPr>
        <w:pStyle w:val="Heading2"/>
      </w:pPr>
      <w:r>
        <w:t>2. CONFIDENTIALITY</w:t>
      </w:r>
    </w:p>
    <w:p>
      <w:r>
        <w:t>Each party shall hold the other party's confidential information in strict confidence for five (5) years following termination of this agreement. Confidential information shall not be disclosed to any third party without the prior written consent of the disclosing party.</w:t>
      </w:r>
    </w:p>
    <w:p>
      <w:pPr>
        <w:pStyle w:val="Heading2"/>
      </w:pPr>
      <w:r>
        <w:t>3. PAYMENT</w:t>
      </w:r>
    </w:p>
    <w:p>
      <w:r>
        <w:t>Customer shall pay Provider within thirty (30) days of receipt of invoice. Late payments shall accrue interest at 1.5% per month or the maximum rate permitted by applicable law, whichever is lower.</w:t>
      </w:r>
    </w:p>
    <w:p>
      <w:r>
        <w:t>This agreement shall be governed by and construed in accordance with the laws of the Republic of Indonesia. Any disputes shall be resolved by the courts of Jakarta.</w:t>
      </w:r>
    </w:p>
    <w:p>
      <w:r>
        <w:t>This agreement constitutes the entire understanding between the parties with respect to the subject matter hereof and supersedes all prior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