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PEyebrow"/>
      </w:pPr>
      <w:r>
        <w:rPr>
          <w:rFonts w:ascii="Space Grotesk" w:hAnsi="Space Grotesk" w:eastAsia="Space Grotesk" w:cs="Space Grotesk"/>
          <w:lang w:val="id-ID"/>
        </w:rPr>
        <w:t>KEBIJAKAN PERUSAHAAN</w:t>
      </w:r>
    </w:p>
    <w:p>
      <w:pPr>
        <w:pStyle w:val="Title"/>
      </w:pPr>
      <w:sdt>
        <w:sdtPr>
          <w:alias w:val="Bidang yang diatur oleh kebijakan"/>
          <w:tag w:val="JUP-FIELD-1338"/>
          <w:id w:val="133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[Bidang yang diatur oleh kebijakan]</w:t>
          </w:r>
        </w:sdtContent>
      </w:sdt>
    </w:p>
    <w:p>
      <w:pPr>
        <w:pStyle w:val="JUPMetadata"/>
      </w:pPr>
      <w:r>
        <w:rPr>
          <w:rFonts w:ascii="Space Mono" w:hAnsi="Space Mono" w:eastAsia="Space Mono" w:cs="Space Mono"/>
          <w:lang w:val="id-ID"/>
        </w:rPr>
        <w:t>JUP–KEB–</w:t>
      </w:r>
      <w:sdt>
        <w:sdtPr>
          <w:alias w:val="UNIT"/>
          <w:tag w:val="JUP-FIELD-1339"/>
          <w:id w:val="1339"/>
        </w:sdtPr>
        <w:sdtContent>
          <w:r>
            <w:rPr>
              <w:rFonts w:ascii="Space Mono" w:hAnsi="Space Mono" w:eastAsia="Space Mono" w:cs="Space Mono"/>
              <w:lang w:val="id-ID"/>
            </w:rPr>
            <w:t>[UNIT]</w:t>
          </w:r>
        </w:sdtContent>
      </w:sdt>
      <w:r>
        <w:rPr>
          <w:rFonts w:ascii="Space Mono" w:hAnsi="Space Mono" w:eastAsia="Space Mono" w:cs="Space Mono"/>
          <w:lang w:val="id-ID"/>
        </w:rPr>
        <w:t>–</w:t>
      </w:r>
      <w:sdt>
        <w:sdtPr>
          <w:alias w:val="NOMOR"/>
          <w:tag w:val="JUP-FIELD-1340"/>
          <w:id w:val="1340"/>
        </w:sdtPr>
        <w:sdtContent>
          <w:r>
            <w:rPr>
              <w:rFonts w:ascii="Space Mono" w:hAnsi="Space Mono" w:eastAsia="Space Mono" w:cs="Space Mono"/>
              <w:lang w:val="id-ID"/>
            </w:rPr>
            <w:t>[NOMOR]</w:t>
          </w:r>
        </w:sdtContent>
      </w:sdt>
      <w:r>
        <w:rPr>
          <w:rFonts w:ascii="Space Mono" w:hAnsi="Space Mono" w:eastAsia="Space Mono" w:cs="Space Mono"/>
          <w:lang w:val="id-ID"/>
        </w:rPr>
        <w:t xml:space="preserve">  |  Versi </w:t>
      </w:r>
      <w:sdt>
        <w:sdtPr>
          <w:alias w:val="x.y"/>
          <w:tag w:val="JUP-FIELD-1341"/>
          <w:id w:val="1341"/>
        </w:sdtPr>
        <w:sdtContent>
          <w:r>
            <w:rPr>
              <w:rFonts w:ascii="Space Mono" w:hAnsi="Space Mono" w:eastAsia="Space Mono" w:cs="Space Mono"/>
              <w:lang w:val="id-ID"/>
            </w:rPr>
            <w:t>[x.y]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Pemilik: </w:t>
      </w:r>
      <w:sdt>
        <w:sdtPr>
          <w:alias w:val="Nama atau unit"/>
          <w:tag w:val="JUP-FIELD-1342"/>
          <w:id w:val="134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atau unit]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 |  Tanggal: </w:t>
      </w:r>
      <w:sdt>
        <w:sdtPr>
          <w:alias w:val="Tanggal dokumen"/>
          <w:tag w:val="JUP-FIELD-1343"/>
          <w:id w:val="134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 dokumen]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Distribusi: </w:t>
      </w:r>
      <w:sdt>
        <w:sdtPr>
          <w:alias w:val="Pihak yang wajib menerapkan"/>
          <w:tag w:val="JUP-FIELD-1344"/>
          <w:id w:val="134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[Pihak yang wajib menerapkan]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Status: </w:t>
      </w:r>
      <w:sdt>
        <w:sdtPr>
          <w:alias w:val="Status dokumen"/>
          <w:tag w:val="JUP-STATUS"/>
          <w:id w:val="1345"/>
          <w:dropDownList>
            <w:listItem w:displayText="Draf" w:value="Draf"/>
            <w:listItem w:displayText="Dalam Penelaahan" w:value="Dalam Penelaahan"/>
            <w:listItem w:displayText="Disetujui" w:value="Disetujui"/>
            <w:listItem w:displayText="Tidak Berlaku" w:value="Tidak Berlaku"/>
          </w:dropDownList>
        </w:sdtPr>
        <w:sdtContent>
          <w:r>
            <w:rPr>
              <w:rFonts w:ascii="Space Grotesk" w:hAnsi="Space Grotesk" w:eastAsia="Space Grotesk" w:cs="Space Grotesk"/>
              <w:color w:val="52677D"/>
              <w:sz w:val="18"/>
              <w:lang w:val="id-ID"/>
            </w:rPr>
            <w:t>Draf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Berlaku: </w:t>
      </w:r>
      <w:sdt>
        <w:sdtPr>
          <w:alias w:val="Setelah disahkan"/>
          <w:tag w:val="JUP-FIELD-1346"/>
          <w:id w:val="134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[Setelah disahkan]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 |  Tinjauan berikutnya: </w:t>
      </w:r>
      <w:sdt>
        <w:sdtPr>
          <w:alias w:val="Tanggal"/>
          <w:tag w:val="JUP-FIELD-1347"/>
          <w:id w:val="134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[Tanggal]</w:t>
          </w:r>
        </w:sdtContent>
      </w:sdt>
    </w:p>
    <w:p>
      <w:pPr>
        <w:spacing w:after="40" w:line="40" w:lineRule="exact"/>
      </w:pP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Maksud kebijakan</w:t>
      </w:r>
    </w:p>
    <w:p>
      <w:r>
        <w:rPr>
          <w:rFonts w:ascii="Space Grotesk" w:hAnsi="Space Grotesk" w:eastAsia="Space Grotesk" w:cs="Space Grotesk"/>
          <w:lang w:val="id-ID"/>
        </w:rPr>
        <w:t xml:space="preserve">JUP menetapkan </w:t>
      </w:r>
      <w:sdt>
        <w:sdtPr>
          <w:alias w:val="arah atau ketentuan utama"/>
          <w:tag w:val="JUP-FIELD-1348"/>
          <w:id w:val="134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[arah atau ketentuan utama]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untuk mencapai </w:t>
      </w:r>
      <w:sdt>
        <w:sdtPr>
          <w:alias w:val="hasil"/>
          <w:tag w:val="JUP-FIELD-1349"/>
          <w:id w:val="134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[hasil]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dan mengendalikan </w:t>
      </w:r>
      <w:sdt>
        <w:sdtPr>
          <w:alias w:val="risiko"/>
          <w:tag w:val="JUP-FIELD-1350"/>
          <w:id w:val="135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[risiko]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Kebijakan ini menjadi acuan keputusan mengenai </w:t>
      </w:r>
      <w:sdt>
        <w:sdtPr>
          <w:alias w:val="bidang"/>
          <w:tag w:val="JUP-FIELD-1351"/>
          <w:id w:val="135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[bidang]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Berlaku bagi  </w:t>
      </w:r>
      <w:sdt>
        <w:sdtPr>
          <w:alias w:val="Unit, peran, kegiatan, lokasi, dan pihak terkait"/>
          <w:tag w:val="JUP-FIELD-1352"/>
          <w:id w:val="135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[Unit, peran, kegiatan, lokasi, dan pihak terkait]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Batas penerapan  </w:t>
      </w:r>
      <w:sdt>
        <w:sdtPr>
          <w:alias w:val="Kondisi yang tidak tercakup serta ketentuan lain yang berlaku"/>
          <w:tag w:val="JUP-FIELD-1353"/>
          <w:id w:val="135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[Kondisi yang tidak tercakup serta ketentuan lain yang berlaku]</w:t>
          </w:r>
        </w:sdtContent>
      </w:sdt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Dasar dan kewenangan</w:t>
      </w:r>
    </w:p>
    <w:p>
      <w:sdt>
        <w:sdtPr>
          <w:alias w:val="Dokumen kewenangan"/>
          <w:tag w:val="JUP-FIELD-1354"/>
          <w:id w:val="135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[Dokumen kewenangan]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memberikan kewenangan kepada </w:t>
      </w:r>
      <w:sdt>
        <w:sdtPr>
          <w:alias w:val="jabatan atau forum"/>
          <w:tag w:val="JUP-FIELD-1355"/>
          <w:id w:val="135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[jabatan atau forum]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untuk menetapkan </w:t>
      </w:r>
      <w:sdt>
        <w:sdtPr>
          <w:alias w:val="ruang keputusan"/>
          <w:tag w:val="JUP-FIELD-1356"/>
          <w:id w:val="135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[ruang keputusan]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Acuan terkait adalah </w:t>
      </w:r>
      <w:sdt>
        <w:sdtPr>
          <w:alias w:val="nomor, versi, dan bagian dokumen"/>
          <w:tag w:val="JUP-FIELD-1357"/>
          <w:id w:val="135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[nomor, versi, dan bagian dokumen]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Pengesahan kebijakan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6"/>
        <w:gridCol w:w="3674"/>
        <w:gridCol w:w="3214"/>
      </w:tblGrid>
      <w:tr>
        <w:trPr>
          <w:cantSplit/>
          <w:tblHeader w:val="true"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Peran</w:t>
            </w:r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Nama dan jabatan</w:t>
            </w:r>
          </w:p>
        </w:tc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Tanggal dan bukti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Penyusun</w:t>
            </w:r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Nama dan jabatan"/>
                <w:tag w:val="JUP-FIELD-1358"/>
                <w:id w:val="135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 dan jabatan]</w:t>
                </w:r>
              </w:sdtContent>
            </w:sdt>
          </w:p>
        </w:tc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Tanggal dan referensi"/>
                <w:tag w:val="JUP-FIELD-1359"/>
                <w:id w:val="135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[Tanggal dan referensi]</w:t>
                </w:r>
              </w:sdtContent>
            </w:sdt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Penelaah</w:t>
            </w:r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Nama dan jabatan"/>
                <w:tag w:val="JUP-FIELD-1360"/>
                <w:id w:val="136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 dan jabatan]</w:t>
                </w:r>
              </w:sdtContent>
            </w:sdt>
          </w:p>
        </w:tc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Tanggal dan referensi"/>
                <w:tag w:val="JUP-FIELD-1361"/>
                <w:id w:val="136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[Tanggal dan referensi]</w:t>
                </w:r>
              </w:sdtContent>
            </w:sdt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Pengesah</w:t>
            </w:r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Nama dan jabatan"/>
                <w:tag w:val="JUP-FIELD-1362"/>
                <w:id w:val="136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 dan jabatan]</w:t>
                </w:r>
              </w:sdtContent>
            </w:sdt>
          </w:p>
        </w:tc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Tanggal dan referensi"/>
                <w:tag w:val="JUP-FIELD-1363"/>
                <w:id w:val="136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[Tanggal dan referensi]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JUPNote"/>
      </w:pPr>
      <w:r>
        <w:rPr>
          <w:rFonts w:ascii="Space Grotesk" w:hAnsi="Space Grotesk" w:eastAsia="Space Grotesk" w:cs="Space Grotesk"/>
          <w:lang w:val="id-ID"/>
        </w:rPr>
        <w:t xml:space="preserve">Berlaku setelah disahkan; menggantikan </w:t>
      </w:r>
      <w:sdt>
        <w:sdtPr>
          <w:alias w:val="Nomor dan versi atau tidak ada"/>
          <w:tag w:val="JUP-FIELD-1364"/>
          <w:id w:val="136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[Nomor dan versi atau tidak ada]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Ketentuan yang wajib diterapkan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Prinsip pengambilan keputusan</w:t>
      </w:r>
    </w:p>
    <w:p>
      <w:r>
        <w:rPr>
          <w:rFonts w:ascii="Space Grotesk" w:hAnsi="Space Grotesk" w:eastAsia="Space Grotesk" w:cs="Space Grotesk"/>
          <w:lang w:val="id-ID"/>
        </w:rPr>
        <w:t xml:space="preserve">Dalam hal </w:t>
      </w:r>
      <w:sdt>
        <w:sdtPr>
          <w:alias w:val="situasi yang memerlukan pertimbangan"/>
          <w:tag w:val="JUP-FIELD-1365"/>
          <w:id w:val="136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[situasi yang memerlukan pertimbangan]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keputusan mempertimbangkan </w:t>
      </w:r>
      <w:sdt>
        <w:sdtPr>
          <w:alias w:val="prinsip"/>
          <w:tag w:val="JUP-FIELD-1366"/>
          <w:id w:val="136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[prinsip]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dengan mengutamakan </w:t>
      </w:r>
      <w:sdt>
        <w:sdtPr>
          <w:alias w:val="hasil atau batas yang wajib dijaga"/>
          <w:tag w:val="JUP-FIELD-1367"/>
          <w:id w:val="136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[hasil atau batas yang wajib dijaga]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Ketentuan pertama</w:t>
      </w:r>
    </w:p>
    <w:p>
      <w:sdt>
        <w:sdtPr>
          <w:alias w:val="Peran"/>
          <w:tag w:val="JUP-FIELD-1368"/>
          <w:id w:val="136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[Peran]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wajib </w:t>
      </w:r>
      <w:sdt>
        <w:sdtPr>
          <w:alias w:val="tindakan"/>
          <w:tag w:val="JUP-FIELD-1369"/>
          <w:id w:val="136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[tindakan]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ketika </w:t>
      </w:r>
      <w:sdt>
        <w:sdtPr>
          <w:alias w:val="kondisi"/>
          <w:tag w:val="JUP-FIELD-1370"/>
          <w:id w:val="137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[kondisi]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sebelum </w:t>
      </w:r>
      <w:sdt>
        <w:sdtPr>
          <w:alias w:val="batas waktu atau tahap"/>
          <w:tag w:val="JUP-FIELD-1371"/>
          <w:id w:val="137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[batas waktu atau tahap]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Kepatuhan dibuktikan melalui </w:t>
      </w:r>
      <w:sdt>
        <w:sdtPr>
          <w:alias w:val="rekaman"/>
          <w:tag w:val="JUP-FIELD-1372"/>
          <w:id w:val="137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[rekaman]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Ketentuan kedua</w:t>
      </w:r>
    </w:p>
    <w:p>
      <w:sdt>
        <w:sdtPr>
          <w:alias w:val="Peran"/>
          <w:tag w:val="JUP-FIELD-1373"/>
          <w:id w:val="137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[Peran]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hanya dapat </w:t>
      </w:r>
      <w:sdt>
        <w:sdtPr>
          <w:alias w:val="tindakan atau komitmen"/>
          <w:tag w:val="JUP-FIELD-1374"/>
          <w:id w:val="137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[tindakan atau komitmen]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apabila </w:t>
      </w:r>
      <w:sdt>
        <w:sdtPr>
          <w:alias w:val="kriteria"/>
          <w:tag w:val="JUP-FIELD-1375"/>
          <w:id w:val="137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[kriteria]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dan telah memperoleh </w:t>
      </w:r>
      <w:sdt>
        <w:sdtPr>
          <w:alias w:val="persetujuan"/>
          <w:tag w:val="JUP-FIELD-1376"/>
          <w:id w:val="137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[persetujuan]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Batas kewenangan yang berlaku adalah </w:t>
      </w:r>
      <w:sdt>
        <w:sdtPr>
          <w:alias w:val="batas dan acuan"/>
          <w:tag w:val="JUP-FIELD-1377"/>
          <w:id w:val="137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[batas dan acuan]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Larangan atau pembatasan</w:t>
      </w:r>
    </w:p>
    <w:p>
      <w:sdt>
        <w:sdtPr>
          <w:alias w:val="Peran"/>
          <w:tag w:val="JUP-FIELD-1378"/>
          <w:id w:val="137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[Peran]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tidak diperkenankan </w:t>
      </w:r>
      <w:sdt>
        <w:sdtPr>
          <w:alias w:val="tindakan"/>
          <w:tag w:val="JUP-FIELD-1379"/>
          <w:id w:val="137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[tindakan]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pada </w:t>
      </w:r>
      <w:sdt>
        <w:sdtPr>
          <w:alias w:val="kondisi"/>
          <w:tag w:val="JUP-FIELD-1380"/>
          <w:id w:val="138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[kondisi]</w:t>
          </w:r>
        </w:sdtContent>
      </w:sdt>
      <w:r>
        <w:rPr>
          <w:rFonts w:ascii="Space Grotesk" w:hAnsi="Space Grotesk" w:eastAsia="Space Grotesk" w:cs="Space Grotesk"/>
          <w:lang w:val="id-ID"/>
        </w:rPr>
        <w:t>. Permohonan di luar ketentuan diproses melalui mekanisme pengecualian.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6"/>
        <w:gridCol w:w="3857"/>
        <w:gridCol w:w="3031"/>
      </w:tblGrid>
      <w:tr>
        <w:trPr>
          <w:cantSplit/>
          <w:tblHeader w:val="true"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Peran</w:t>
            </w:r>
          </w:p>
        </w:tc>
        <w:tc>
          <w:tcPr>
            <w:tcW w:type="dxa" w:w="385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Tanggung jawab penerapan</w:t>
            </w:r>
          </w:p>
        </w:tc>
        <w:tc>
          <w:tcPr>
            <w:tcW w:type="dxa" w:w="303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Keputusan yang dimiliki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milik kebijakan"/>
                <w:tag w:val="JUP-FIELD-1381"/>
                <w:id w:val="138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[Pemilik kebijakan]</w:t>
                </w:r>
              </w:sdtContent>
            </w:sdt>
          </w:p>
        </w:tc>
        <w:tc>
          <w:tcPr>
            <w:tcW w:type="dxa" w:w="385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nerapan dan peninjauan"/>
                <w:tag w:val="JUP-FIELD-1382"/>
                <w:id w:val="138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[Penerapan dan peninjauan]</w:t>
                </w:r>
              </w:sdtContent>
            </w:sdt>
          </w:p>
        </w:tc>
        <w:tc>
          <w:tcPr>
            <w:tcW w:type="dxa" w:w="303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Kewenangan"/>
                <w:tag w:val="JUP-FIELD-1383"/>
                <w:id w:val="138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[Kewenangan]</w:t>
                </w:r>
              </w:sdtContent>
            </w:sdt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Unit pelaksana"/>
                <w:tag w:val="JUP-FIELD-1384"/>
                <w:id w:val="138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[Unit pelaksana]</w:t>
                </w:r>
              </w:sdtContent>
            </w:sdt>
          </w:p>
        </w:tc>
        <w:tc>
          <w:tcPr>
            <w:tcW w:type="dxa" w:w="385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Pelaksanaan dan bukti"/>
                <w:tag w:val="JUP-FIELD-1385"/>
                <w:id w:val="138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[Pelaksanaan dan bukti]</w:t>
                </w:r>
              </w:sdtContent>
            </w:sdt>
          </w:p>
        </w:tc>
        <w:tc>
          <w:tcPr>
            <w:tcW w:type="dxa" w:w="303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Kewenangan"/>
                <w:tag w:val="JUP-FIELD-1386"/>
                <w:id w:val="138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[Kewenangan]</w:t>
                </w:r>
              </w:sdtContent>
            </w:sdt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Fungsi pengawasan"/>
                <w:tag w:val="JUP-FIELD-1387"/>
                <w:id w:val="138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[Fungsi pengawasan]</w:t>
                </w:r>
              </w:sdtContent>
            </w:sdt>
          </w:p>
        </w:tc>
        <w:tc>
          <w:tcPr>
            <w:tcW w:type="dxa" w:w="385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mantauan dan pelaporan"/>
                <w:tag w:val="JUP-FIELD-1388"/>
                <w:id w:val="138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[Pemantauan dan pelaporan]</w:t>
                </w:r>
              </w:sdtContent>
            </w:sdt>
          </w:p>
        </w:tc>
        <w:tc>
          <w:tcPr>
            <w:tcW w:type="dxa" w:w="3031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Kewenangan"/>
                <w:tag w:val="JUP-FIELD-1389"/>
                <w:id w:val="138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[Kewenangan]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Pengecualian pengawasan dan peninjauan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Pengecualian yang dapat diajukan</w:t>
      </w:r>
    </w:p>
    <w:p>
      <w:r>
        <w:rPr>
          <w:rFonts w:ascii="Space Grotesk" w:hAnsi="Space Grotesk" w:eastAsia="Space Grotesk" w:cs="Space Grotesk"/>
          <w:lang w:val="id-ID"/>
        </w:rPr>
        <w:t xml:space="preserve">Permohonan memuat </w:t>
      </w:r>
      <w:sdt>
        <w:sdtPr>
          <w:alias w:val="alasan"/>
          <w:tag w:val="JUP-FIELD-1390"/>
          <w:id w:val="139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[alasan]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</w:t>
      </w:r>
      <w:sdt>
        <w:sdtPr>
          <w:alias w:val="risiko"/>
          <w:tag w:val="JUP-FIELD-1391"/>
          <w:id w:val="139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[risiko]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</w:t>
      </w:r>
      <w:sdt>
        <w:sdtPr>
          <w:alias w:val="pengendalian pengganti"/>
          <w:tag w:val="JUP-FIELD-1392"/>
          <w:id w:val="139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[pengendalian pengganti]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dan </w:t>
      </w:r>
      <w:sdt>
        <w:sdtPr>
          <w:alias w:val="masa berlaku"/>
          <w:tag w:val="JUP-FIELD-1393"/>
          <w:id w:val="139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[masa berlaku]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</w:t>
      </w:r>
      <w:sdt>
        <w:sdtPr>
          <w:alias w:val="Pejabat"/>
          <w:tag w:val="JUP-FIELD-1394"/>
          <w:id w:val="139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[Pejabat]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menilai permohonan berdasarkan </w:t>
      </w:r>
      <w:sdt>
        <w:sdtPr>
          <w:alias w:val="kriteria"/>
          <w:tag w:val="JUP-FIELD-1395"/>
          <w:id w:val="139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[kriteria]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Ketentuan yang tidak dapat dikecualikan adalah </w:t>
      </w:r>
      <w:sdt>
        <w:sdtPr>
          <w:alias w:val="ketentuan dan acuan"/>
          <w:tag w:val="JUP-FIELD-1396"/>
          <w:id w:val="139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[ketentuan dan acuan]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Catatan keputusan pengecualian  </w:t>
      </w:r>
      <w:sdt>
        <w:sdtPr>
          <w:alias w:val="Nomor permohonan, penetap, syarat, batas waktu, dan bukti keputusan"/>
          <w:tag w:val="JUP-FIELD-1397"/>
          <w:id w:val="139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[Nomor permohonan, penetap, syarat, batas waktu, dan bukti keputusan]</w:t>
          </w:r>
        </w:sdtContent>
      </w:sdt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Pengawasan dan penanganan penyimpangan</w:t>
      </w:r>
    </w:p>
    <w:p>
      <w:sdt>
        <w:sdtPr>
          <w:alias w:val="Fungsi"/>
          <w:tag w:val="JUP-FIELD-1398"/>
          <w:id w:val="139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[Fungsi]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memeriksa </w:t>
      </w:r>
      <w:sdt>
        <w:sdtPr>
          <w:alias w:val="bukti kepatuhan"/>
          <w:tag w:val="JUP-FIELD-1399"/>
          <w:id w:val="139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[bukti kepatuhan]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setiap </w:t>
      </w:r>
      <w:sdt>
        <w:sdtPr>
          <w:alias w:val="periode"/>
          <w:tag w:val="JUP-FIELD-1400"/>
          <w:id w:val="140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[periode]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Penyimpangan dilaporkan melalui </w:t>
      </w:r>
      <w:sdt>
        <w:sdtPr>
          <w:alias w:val="kanal"/>
          <w:tag w:val="JUP-FIELD-1401"/>
          <w:id w:val="140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[kanal]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kepada </w:t>
      </w:r>
      <w:sdt>
        <w:sdtPr>
          <w:alias w:val="pihak"/>
          <w:tag w:val="JUP-FIELD-1402"/>
          <w:id w:val="140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[pihak]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dan ditindaklanjuti berdasarkan </w:t>
      </w:r>
      <w:sdt>
        <w:sdtPr>
          <w:alias w:val="ketentuan"/>
          <w:tag w:val="JUP-FIELD-1403"/>
          <w:id w:val="140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[ketentuan]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Penerapan dan dokumen pendukung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17"/>
        <w:gridCol w:w="2112"/>
        <w:gridCol w:w="2755"/>
      </w:tblGrid>
      <w:tr>
        <w:trPr>
          <w:cantSplit/>
          <w:tblHeader w:val="true"/>
        </w:trPr>
        <w:tc>
          <w:tcPr>
            <w:tcW w:type="dxa" w:w="431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Kebutuhan penerapan</w:t>
            </w:r>
          </w:p>
        </w:tc>
        <w:tc>
          <w:tcPr>
            <w:tcW w:type="dxa" w:w="211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Pemilik</w:t>
            </w:r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Bukti siap</w:t>
            </w:r>
          </w:p>
        </w:tc>
      </w:tr>
      <w:tr>
        <w:trPr>
          <w:cantSplit/>
        </w:trPr>
        <w:tc>
          <w:tcPr>
            <w:tcW w:type="dxa" w:w="431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SOP atau formulir pendukung"/>
                <w:tag w:val="JUP-FIELD-1404"/>
                <w:id w:val="140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[SOP atau formulir pendukung]</w:t>
                </w:r>
              </w:sdtContent>
            </w:sdt>
          </w:p>
        </w:tc>
        <w:tc>
          <w:tcPr>
            <w:tcW w:type="dxa" w:w="211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Unit"/>
                <w:tag w:val="JUP-FIELD-1405"/>
                <w:id w:val="140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[Unit]</w:t>
                </w:r>
              </w:sdtContent>
            </w:sdt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Nomor dan versi"/>
                <w:tag w:val="JUP-FIELD-1406"/>
                <w:id w:val="140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[Nomor dan versi]</w:t>
                </w:r>
              </w:sdtContent>
            </w:sdt>
          </w:p>
        </w:tc>
      </w:tr>
      <w:tr>
        <w:trPr>
          <w:cantSplit/>
        </w:trPr>
        <w:tc>
          <w:tcPr>
            <w:tcW w:type="dxa" w:w="431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Sosialisasi atau kesiapan sistem"/>
                <w:tag w:val="JUP-FIELD-1407"/>
                <w:id w:val="140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[Sosialisasi atau kesiapan sistem]</w:t>
                </w:r>
              </w:sdtContent>
            </w:sdt>
          </w:p>
        </w:tc>
        <w:tc>
          <w:tcPr>
            <w:tcW w:type="dxa" w:w="211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Unit"/>
                <w:tag w:val="JUP-FIELD-1408"/>
                <w:id w:val="140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[Unit]</w:t>
                </w:r>
              </w:sdtContent>
            </w:sdt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Rekaman kesiapan"/>
                <w:tag w:val="JUP-FIELD-1409"/>
                <w:id w:val="140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[Rekaman kesiapan]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Peninjauan  </w:t>
      </w:r>
      <w:sdt>
        <w:sdtPr>
          <w:alias w:val="Jadwal atau perubahan kondisi yang memicu tinjauan, pemilik, dan forum penetapan"/>
          <w:tag w:val="JUP-FIELD-1410"/>
          <w:id w:val="141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[Jadwal atau perubahan kondisi yang memicu tinjauan, pemilik, dan forum penetapan]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Riwayat perubahan  </w:t>
      </w:r>
      <w:sdt>
        <w:sdtPr>
          <w:alias w:val="Versi, tanggal, ketentuan yang berubah, alasan, dan bukti persetujuan"/>
          <w:tag w:val="JUP-FIELD-1411"/>
          <w:id w:val="141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[Versi, tanggal, ketentuan yang berubah, alasan, dan bukti persetujuan]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361" w:bottom="1304" w:left="1361" w:header="68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84" w:val="right"/>
      </w:tabs>
      <w:pBdr>
        <w:bottom w:val="single" w:sz="3" w:color="D9D9D9" w:space="6"/>
      </w:pBdr>
    </w:pPr>
    <w:r>
      <w:rPr>
        <w:rFonts w:ascii="Space Grotesk" w:hAnsi="Space Grotesk" w:eastAsia="Space Grotesk" w:cs="Space Grotesk"/>
        <w:color w:val="52677D"/>
        <w:sz w:val="17"/>
        <w:lang w:val="id-ID"/>
      </w:rPr>
      <w:t>Kebijakan</w:t>
    </w:r>
    <w:r>
      <w:rPr>
        <w:rFonts w:ascii="Space Grotesk" w:hAnsi="Space Grotesk" w:eastAsia="Space Grotesk" w:cs="Space Grotesk"/>
        <w:color w:val="52677D"/>
        <w:sz w:val="17"/>
        <w:lang w:val="id-ID"/>
      </w:rPr>
      <w:tab/>
      <w:t xml:space="preserve">Halaman </w:t>
    </w:r>
    <w:fldSimple w:instr=" PAGE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 dari </w:t>
    </w:r>
    <w:fldSimple w:instr=" NUMPAGES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</w:p>
  <w:p>
    <w:pPr>
      <w:tabs>
        <w:tab w:pos="9184" w:val="right"/>
      </w:tabs>
    </w:pPr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Klasifikasi akses: </w:t>
    </w:r>
    <w:sdt>
      <w:sdtPr>
        <w:alias w:val="Klasifikasi akses"/>
        <w:tag w:val="JUP-ACCESS"/>
        <w:id w:val="1336"/>
        <w:dropDownList>
          <w:listItem w:displayText="PUBLIK" w:value="PUBLIK"/>
          <w:listItem w:displayText="INTERNAL" w:value="INTERNAL"/>
          <w:listItem w:displayText="TERBATAS" w:value="TERBATAS"/>
          <w:listItem w:displayText="RAHASIA" w:value="RAHASIA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INTERNAL</w:t>
        </w:r>
      </w:sdtContent>
    </w:sdt>
    <w:r>
      <w:rPr>
        <w:rFonts w:ascii="Space Grotesk" w:hAnsi="Space Grotesk" w:eastAsia="Space Grotesk" w:cs="Space Grotesk"/>
        <w:color w:val="52677D"/>
        <w:sz w:val="17"/>
        <w:lang w:val="id-ID"/>
      </w:rPr>
      <w:tab/>
      <w:t>www.jup.co.id</w:t>
    </w:r>
  </w:p>
  <w:p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Kelompok: </w:t>
    </w:r>
    <w:sdt>
      <w:sdtPr>
        <w:alias w:val="Kelompok dokumen"/>
        <w:tag w:val="JUP-GROUP"/>
        <w:id w:val="1337"/>
        <w:dropDownList>
          <w:listItem w:displayText="Tata Kelola dan Kebijakan" w:value="Tata Kelola dan Kebijakan"/>
          <w:listItem w:displayText="Strategi dan Pengambilan Keputusan" w:value="Strategi dan Pengambilan Keputusan"/>
          <w:listItem w:displayText="Proyek dan Perubahan" w:value="Proyek dan Perubahan"/>
          <w:listItem w:displayText="Operasional dan Petunjuk Kerja" w:value="Operasional dan Petunjuk Kerja"/>
          <w:listItem w:displayText="Kinerja, Risiko, dan Pengendalian" w:value="Kinerja, Risiko, dan Pengendalian"/>
          <w:listItem w:displayText="Administrasi dan Komunikasi" w:value="Administrasi dan Komunikasi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Tata Kelola dan Kebijakan</w:t>
        </w:r>
      </w:sdtContent>
    </w:sdt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184" w:val="right"/>
      </w:tabs>
      <w:spacing w:after="100"/>
      <w:pBdr>
        <w:bottom w:val="single" w:sz="6" w:color="00A550" w:space="6"/>
      </w:pBdr>
    </w:pPr>
    <w:r>
      <w:drawing>
        <wp:inline xmlns:a="http://schemas.openxmlformats.org/drawingml/2006/main" xmlns:pic="http://schemas.openxmlformats.org/drawingml/2006/picture">
          <wp:extent cx="1836000" cy="619463"/>
          <wp:docPr id="1" name="Picture 1" descr="Logo resmi JUP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up-logo-approv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6000" cy="61946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Space Grotesk" w:hAnsi="Space Grotesk" w:eastAsia="Space Grotesk" w:cs="Space Grotesk"/>
        <w:color w:val="000000"/>
        <w:sz w:val="17"/>
        <w:lang w:val="id-ID"/>
      </w:rPr>
      <w:tab/>
      <w:t>PT Jakarta Utilitas Propertindo</w:t>
    </w: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6804000</wp:posOffset>
          </wp:positionH>
          <wp:positionV relativeFrom="page">
            <wp:posOffset>1224000</wp:posOffset>
          </wp:positionV>
          <wp:extent cx="1152000" cy="1152000"/>
          <wp:effectExtent l="0" t="0" r="0" b="0"/>
          <wp:wrapNone/>
          <wp:docPr id="2" name="Picture 2" descr="Motif outline JUP asli pada margin luar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jup-outline-source.png"/>
                  <pic:cNvPicPr/>
                </pic:nvPicPr>
                <pic:blipFill>
                  <a:blip r:embed="rId2">
                    <a:alphaModFix amt="70000"/>
                  </a:blip>
                  <a:srcRect l="61198" t="18704" r="3594" b="18704"/>
                  <a:stretch>
                    <a:fillRect/>
                  </a:stretch>
                </pic:blipFill>
                <pic:spPr>
                  <a:xfrm>
                    <a:off x="0" y="0"/>
                    <a:ext cx="1152000" cy="115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id-ID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before="0" w:line="269" w:lineRule="auto"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69" w:lineRule="auto" w:before="0"/>
    </w:pPr>
    <w:rPr>
      <w:rFonts w:ascii="Space Grotesk" w:hAnsi="Space Grotesk" w:eastAsia="Space Grotesk" w:cs="Space Grotesk"/>
      <w:b w:val="0"/>
      <w:color w:val="52677D"/>
      <w:sz w:val="17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69" w:lineRule="auto"/>
      <w:outlineLvl w:val="0"/>
    </w:pPr>
    <w:rPr>
      <w:rFonts w:ascii="Space Grotesk" w:hAnsi="Space Grotesk" w:eastAsia="Space Grotesk" w:cs="Space Grotesk"/>
      <w:b/>
      <w:bCs/>
      <w:color w:val="000000"/>
      <w:sz w:val="42"/>
      <w:szCs w:val="28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69" w:lineRule="auto"/>
      <w:outlineLvl w:val="1"/>
    </w:pPr>
    <w:rPr>
      <w:rFonts w:ascii="Space Grotesk" w:hAnsi="Space Grotesk" w:eastAsia="Space Grotesk" w:cs="Space Grotesk"/>
      <w:b/>
      <w:bCs/>
      <w:color w:val="000000"/>
      <w:sz w:val="26"/>
      <w:szCs w:val="26"/>
      <w:lang w:val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80" w:line="269" w:lineRule="auto" w:before="0"/>
      <w:contextualSpacing/>
    </w:pPr>
    <w:rPr>
      <w:rFonts w:ascii="Space Grotesk" w:hAnsi="Space Grotesk" w:eastAsia="Space Grotesk" w:cs="Space Grotesk"/>
      <w:b/>
      <w:color w:val="000000"/>
      <w:spacing w:val="5"/>
      <w:kern w:val="28"/>
      <w:sz w:val="50"/>
      <w:szCs w:val="52"/>
      <w:lang w:val="id-ID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before="0" w:line="269" w:lineRule="auto"/>
    </w:pPr>
    <w:rPr>
      <w:rFonts w:ascii="Space Grotesk" w:hAnsi="Space Grotesk" w:eastAsia="Space Grotesk" w:cs="Space Grotesk"/>
      <w:b w:val="0"/>
      <w:i/>
      <w:iCs/>
      <w:color w:val="52677D"/>
      <w:spacing w:val="15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before="0" w:line="269" w:lineRule="auto"/>
      <w:ind w:left="227" w:hanging="227"/>
      <w:contextualSpacing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PNote">
    <w:name w:val="JUP Note"/>
    <w:pPr>
      <w:spacing w:after="140" w:before="10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Metadata">
    <w:name w:val="JUP Metadata"/>
    <w:pPr>
      <w:spacing w:after="60" w:before="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Table">
    <w:name w:val="JUP Table"/>
    <w:pPr>
      <w:spacing w:after="0" w:before="0" w:line="269" w:lineRule="auto"/>
    </w:pPr>
    <w:rPr>
      <w:rFonts w:ascii="Space Grotesk" w:hAnsi="Space Grotesk" w:eastAsia="Space Grotesk" w:cs="Space Grotesk"/>
      <w:b w:val="0"/>
      <w:color w:val="011627"/>
      <w:sz w:val="21"/>
      <w:lang w:val="id-ID"/>
    </w:rPr>
  </w:style>
  <w:style w:type="paragraph" w:customStyle="1" w:styleId="JUPEyebrow">
    <w:name w:val="JUP Eyebrow"/>
    <w:pPr>
      <w:spacing w:after="160" w:before="0" w:line="269" w:lineRule="auto"/>
    </w:pPr>
    <w:rPr>
      <w:rFonts w:ascii="Space Grotesk" w:hAnsi="Space Grotesk" w:eastAsia="Space Grotesk" w:cs="Space Grotesk"/>
      <w:b/>
      <w:color w:val="004999"/>
      <w:sz w:val="18"/>
      <w:lang w:val="id-I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Space Grotesk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pace Grotesk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Kebijakan perusahaan</dc:title>
  <dc:subject>Menetapkan prinsip, aturan, tanggung jawab, dan batas kewenangan untuk suatu bidang.</dc:subject>
  <dc:creator>PT Jakarta Utilitas Propertindo</dc:creator>
  <cp:keywords>JUP, template, Bahasa Indonesia, Company Policy</cp:keywords>
  <dc:description>Template isian; bukan dokumen yang telah disahkan.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