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A2744"/>
          <w:sz w:val="40"/>
        </w:rPr>
        <w:t>ITALIANTOBE</w:t>
      </w:r>
    </w:p>
    <w:p>
      <w:pPr>
        <w:spacing w:before="0" w:after="80"/>
        <w:jc w:val="center"/>
      </w:pPr>
      <w:r>
        <w:rPr>
          <w:rFonts w:ascii="Arial" w:hAnsi="Arial"/>
          <w:b w:val="0"/>
          <w:i w:val="0"/>
          <w:color w:val="6B7280"/>
          <w:sz w:val="18"/>
        </w:rPr>
        <w:t>italiantobe.com  ·  Naples, Italy  ·  erikholzer1@gmail.com</w:t>
      </w:r>
    </w:p>
    <w:p>
      <w:pPr>
        <w:spacing w:before="0" w:after="0"/>
        <w:pBdr>
          <w:bottom w:val="single" w:sz="18" w:space="1" w:color="C9A84C"/>
        </w:pBdr>
      </w:pPr>
    </w:p>
    <w:p>
      <w:pPr>
        <w:spacing w:before="0" w:after="40"/>
        <w:jc w:val="left"/>
      </w:pPr>
    </w:p>
    <w:p>
      <w:pPr>
        <w:spacing w:before="80" w:after="40"/>
        <w:jc w:val="center"/>
      </w:pPr>
      <w:r>
        <w:rPr>
          <w:rFonts w:ascii="Arial" w:hAnsi="Arial"/>
          <w:b/>
          <w:i w:val="0"/>
          <w:color w:val="1A2744"/>
          <w:sz w:val="28"/>
        </w:rPr>
        <w:t>CLIENT SERVICE AGREEMENT</w:t>
      </w:r>
    </w:p>
    <w:p>
      <w:pPr>
        <w:spacing w:before="0" w:after="200"/>
        <w:jc w:val="center"/>
      </w:pPr>
      <w:r>
        <w:rPr>
          <w:rFonts w:ascii="Arial" w:hAnsi="Arial"/>
          <w:b w:val="0"/>
          <w:i/>
          <w:color w:val="6B7280"/>
          <w:sz w:val="20"/>
        </w:rPr>
        <w:t>Italian Citizenship Consulting Services</w:t>
      </w:r>
    </w:p>
    <w:p>
      <w:pPr>
        <w:spacing w:before="120" w:after="60"/>
        <w:jc w:val="left"/>
      </w:pPr>
      <w:r>
        <w:rPr>
          <w:rFonts w:ascii="Arial" w:hAnsi="Arial"/>
          <w:b/>
          <w:i w:val="0"/>
          <w:color w:val="1A2744"/>
          <w:sz w:val="20"/>
        </w:rPr>
        <w:t>1.  PARTIES</w:t>
      </w:r>
    </w:p>
    <w:p>
      <w:pPr>
        <w:spacing w:before="0" w:after="0"/>
        <w:pBdr>
          <w:bottom w:val="single" w:sz="6" w:space="1" w:color="1A2744"/>
        </w:pBdr>
      </w:pPr>
    </w:p>
    <w:p>
      <w:pPr>
        <w:spacing w:before="0" w:after="80"/>
        <w:jc w:val="left"/>
      </w:pPr>
    </w:p>
    <w:p>
      <w:pPr>
        <w:spacing w:before="0" w:after="100"/>
      </w:pPr>
      <w:r>
        <w:rPr>
          <w:rFonts w:ascii="Arial" w:hAnsi="Arial"/>
          <w:b/>
          <w:i w:val="0"/>
          <w:color w:val="1A2744"/>
          <w:sz w:val="20"/>
        </w:rPr>
        <w:t xml:space="preserve">Consultant: </w:t>
      </w:r>
      <w:r>
        <w:rPr>
          <w:rFonts w:ascii="Arial" w:hAnsi="Arial"/>
          <w:b w:val="0"/>
          <w:i w:val="0"/>
          <w:sz w:val="20"/>
        </w:rPr>
        <w:t>Erik Holzer, operating as ItalianToBe, Naples, Italy.</w:t>
      </w:r>
    </w:p>
    <w:p>
      <w:pPr>
        <w:spacing w:before="0" w:after="100"/>
      </w:pPr>
      <w:r>
        <w:rPr>
          <w:rFonts w:ascii="Arial" w:hAnsi="Arial"/>
          <w:b/>
          <w:i w:val="0"/>
          <w:color w:val="1A2744"/>
          <w:sz w:val="20"/>
        </w:rPr>
        <w:t xml:space="preserve">Client: </w:t>
      </w:r>
      <w:r>
        <w:rPr>
          <w:rFonts w:ascii="Arial" w:hAnsi="Arial"/>
          <w:b w:val="0"/>
          <w:i w:val="0"/>
          <w:sz w:val="20"/>
        </w:rPr>
        <w:t>_________________________________  (full legal name)</w:t>
      </w:r>
    </w:p>
    <w:p>
      <w:pPr>
        <w:spacing w:before="0" w:after="100"/>
      </w:pPr>
      <w:r>
        <w:rPr>
          <w:rFonts w:ascii="Arial" w:hAnsi="Arial"/>
          <w:b/>
          <w:i w:val="0"/>
          <w:color w:val="1A2744"/>
          <w:sz w:val="20"/>
        </w:rPr>
        <w:t xml:space="preserve">Email: </w:t>
      </w:r>
      <w:r>
        <w:rPr>
          <w:rFonts w:ascii="Arial" w:hAnsi="Arial"/>
          <w:b w:val="0"/>
          <w:i w:val="0"/>
          <w:sz w:val="20"/>
        </w:rPr>
        <w:t>_________________________________</w:t>
      </w:r>
    </w:p>
    <w:p>
      <w:pPr>
        <w:spacing w:before="0" w:after="100"/>
      </w:pPr>
      <w:r>
        <w:rPr>
          <w:rFonts w:ascii="Arial" w:hAnsi="Arial"/>
          <w:b/>
          <w:i w:val="0"/>
          <w:color w:val="1A2744"/>
          <w:sz w:val="20"/>
        </w:rPr>
        <w:t xml:space="preserve">Agreement Date: </w:t>
      </w:r>
      <w:r>
        <w:rPr>
          <w:rFonts w:ascii="Arial" w:hAnsi="Arial"/>
          <w:b w:val="0"/>
          <w:i w:val="0"/>
          <w:sz w:val="20"/>
        </w:rPr>
        <w:t>_________________________________</w:t>
      </w:r>
    </w:p>
    <w:p>
      <w:pPr>
        <w:spacing w:before="0" w:after="40"/>
        <w:jc w:val="left"/>
      </w:pPr>
    </w:p>
    <w:p>
      <w:pPr>
        <w:spacing w:before="0" w:after="160"/>
        <w:jc w:val="left"/>
      </w:pPr>
      <w:r>
        <w:rPr>
          <w:rFonts w:ascii="Arial" w:hAnsi="Arial"/>
          <w:b w:val="0"/>
          <w:i w:val="0"/>
          <w:sz w:val="20"/>
        </w:rPr>
        <w:t>This Agreement sets out the terms under which the Consultant will provide Italian citizenship consulting services to the Client. It is not a contract for legal representation. The Consultant is not a licensed attorney. Where a case requires legal representation — such as court proceedings under the 1948 rule — the Consultant will coordinate with qualified Italian lawyers, whose fees are separate from and in addition to those set out in this Agreement.</w:t>
      </w:r>
    </w:p>
    <w:p>
      <w:pPr>
        <w:spacing w:before="280" w:after="60"/>
        <w:jc w:val="left"/>
      </w:pPr>
      <w:r>
        <w:rPr>
          <w:rFonts w:ascii="Arial" w:hAnsi="Arial"/>
          <w:b/>
          <w:i w:val="0"/>
          <w:color w:val="1A2744"/>
          <w:sz w:val="20"/>
        </w:rPr>
        <w:t>2.  SCOPE OF SERVICES AND CASE CLASSIFICATION</w:t>
      </w:r>
    </w:p>
    <w:p>
      <w:pPr>
        <w:spacing w:before="0" w:after="0"/>
        <w:pBdr>
          <w:bottom w:val="single" w:sz="6" w:space="1" w:color="1A2744"/>
        </w:pBdr>
      </w:pPr>
    </w:p>
    <w:p>
      <w:pPr>
        <w:spacing w:before="0" w:after="80"/>
        <w:jc w:val="left"/>
      </w:pPr>
    </w:p>
    <w:p>
      <w:pPr>
        <w:spacing w:before="0" w:after="120"/>
        <w:jc w:val="left"/>
      </w:pPr>
      <w:r>
        <w:rPr>
          <w:rFonts w:ascii="Arial" w:hAnsi="Arial"/>
          <w:b w:val="0"/>
          <w:i w:val="0"/>
          <w:sz w:val="20"/>
        </w:rPr>
        <w:t>Services are provided on a flat-fee basis, determined by the complexity of the Client's case. The Consultant will assess and classify the case following an initial consultation.</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A2744"/>
          </w:tcPr>
          <w:p>
            <w:pPr>
              <w:spacing w:before="40" w:after="40"/>
              <w:jc w:val="center"/>
            </w:pPr>
            <w:r>
              <w:rPr>
                <w:rFonts w:ascii="Arial" w:hAnsi="Arial"/>
                <w:b/>
                <w:color w:val="FFFFFF"/>
                <w:sz w:val="19"/>
              </w:rPr>
              <w:t>Case Tier</w:t>
            </w:r>
          </w:p>
        </w:tc>
        <w:tc>
          <w:tcPr>
            <w:tcW w:type="dxa" w:w="4608"/>
            <w:shd w:val="clear" w:color="auto" w:fill="1A2744"/>
          </w:tcPr>
          <w:p>
            <w:pPr>
              <w:spacing w:before="40" w:after="40"/>
              <w:jc w:val="center"/>
            </w:pPr>
            <w:r>
              <w:rPr>
                <w:rFonts w:ascii="Arial" w:hAnsi="Arial"/>
                <w:b/>
                <w:color w:val="FFFFFF"/>
                <w:sz w:val="19"/>
              </w:rPr>
              <w:t>Description</w:t>
            </w:r>
          </w:p>
        </w:tc>
        <w:tc>
          <w:tcPr>
            <w:tcW w:type="dxa" w:w="1872"/>
            <w:shd w:val="clear" w:color="auto" w:fill="1A2744"/>
          </w:tcPr>
          <w:p>
            <w:pPr>
              <w:spacing w:before="40" w:after="40"/>
              <w:jc w:val="center"/>
            </w:pPr>
            <w:r>
              <w:rPr>
                <w:rFonts w:ascii="Arial" w:hAnsi="Arial"/>
                <w:b/>
                <w:color w:val="FFFFFF"/>
                <w:sz w:val="19"/>
              </w:rPr>
              <w:t>Flat Fee</w:t>
            </w:r>
          </w:p>
        </w:tc>
      </w:tr>
      <w:tr>
        <w:tc>
          <w:tcPr>
            <w:tcW w:type="dxa" w:w="2160"/>
            <w:shd w:val="clear" w:color="auto" w:fill="F7F3EB"/>
          </w:tcPr>
          <w:p>
            <w:pPr>
              <w:spacing w:before="40" w:after="40"/>
              <w:jc w:val="left"/>
            </w:pPr>
            <w:r>
              <w:rPr>
                <w:rFonts w:ascii="Arial" w:hAnsi="Arial"/>
                <w:b/>
                <w:color w:val="1A2744"/>
                <w:sz w:val="19"/>
              </w:rPr>
              <w:t>Tier 1 — Standard</w:t>
            </w:r>
          </w:p>
        </w:tc>
        <w:tc>
          <w:tcPr>
            <w:tcW w:type="dxa" w:w="4608"/>
            <w:shd w:val="clear" w:color="auto" w:fill="F7F3EB"/>
          </w:tcPr>
          <w:p>
            <w:pPr>
              <w:spacing w:before="40" w:after="40"/>
              <w:jc w:val="left"/>
            </w:pPr>
            <w:r>
              <w:rPr>
                <w:rFonts w:ascii="Arial" w:hAnsi="Arial"/>
                <w:b w:val="0"/>
                <w:sz w:val="19"/>
              </w:rPr>
              <w:t>Straightforward jure sanguinis. Parent or grandparent is Italian-born ancestor. Male-line or female born after 1948. No minor issue complications. Records reasonably accessible.</w:t>
            </w:r>
          </w:p>
        </w:tc>
        <w:tc>
          <w:tcPr>
            <w:tcW w:type="dxa" w:w="1872"/>
            <w:shd w:val="clear" w:color="auto" w:fill="F7F3EB"/>
          </w:tcPr>
          <w:p>
            <w:pPr>
              <w:spacing w:before="40" w:after="40"/>
              <w:jc w:val="center"/>
            </w:pPr>
            <w:r>
              <w:rPr>
                <w:rFonts w:ascii="Arial" w:hAnsi="Arial"/>
                <w:b/>
                <w:color w:val="1A2744"/>
                <w:sz w:val="19"/>
              </w:rPr>
              <w:t>$1,500 – $2,000</w:t>
            </w:r>
          </w:p>
        </w:tc>
      </w:tr>
      <w:tr>
        <w:tc>
          <w:tcPr>
            <w:tcW w:type="dxa" w:w="2160"/>
            <w:shd w:val="clear" w:color="auto" w:fill="FFFFFF"/>
          </w:tcPr>
          <w:p>
            <w:pPr>
              <w:spacing w:before="40" w:after="40"/>
              <w:jc w:val="left"/>
            </w:pPr>
            <w:r>
              <w:rPr>
                <w:rFonts w:ascii="Arial" w:hAnsi="Arial"/>
                <w:b/>
                <w:color w:val="1A2744"/>
                <w:sz w:val="19"/>
              </w:rPr>
              <w:t>Tier 2 — Complex</w:t>
            </w:r>
          </w:p>
        </w:tc>
        <w:tc>
          <w:tcPr>
            <w:tcW w:type="dxa" w:w="4608"/>
            <w:shd w:val="clear" w:color="auto" w:fill="FFFFFF"/>
          </w:tcPr>
          <w:p>
            <w:pPr>
              <w:spacing w:before="40" w:after="40"/>
              <w:jc w:val="left"/>
            </w:pPr>
            <w:r>
              <w:rPr>
                <w:rFonts w:ascii="Arial" w:hAnsi="Arial"/>
                <w:b w:val="0"/>
                <w:sz w:val="19"/>
              </w:rPr>
              <w:t>Complicating factors present: borderline minor issue, difficult-to-locate records, Law 74/2025 grey areas, or cases requiring significant comune correspondence.</w:t>
            </w:r>
          </w:p>
        </w:tc>
        <w:tc>
          <w:tcPr>
            <w:tcW w:type="dxa" w:w="1872"/>
            <w:shd w:val="clear" w:color="auto" w:fill="FFFFFF"/>
          </w:tcPr>
          <w:p>
            <w:pPr>
              <w:spacing w:before="40" w:after="40"/>
              <w:jc w:val="center"/>
            </w:pPr>
            <w:r>
              <w:rPr>
                <w:rFonts w:ascii="Arial" w:hAnsi="Arial"/>
                <w:b/>
                <w:color w:val="1A2744"/>
                <w:sz w:val="19"/>
              </w:rPr>
              <w:t>$2,500 – $3,500</w:t>
            </w:r>
          </w:p>
        </w:tc>
      </w:tr>
      <w:tr>
        <w:tc>
          <w:tcPr>
            <w:tcW w:type="dxa" w:w="2160"/>
            <w:shd w:val="clear" w:color="auto" w:fill="F7F3EB"/>
          </w:tcPr>
          <w:p>
            <w:pPr>
              <w:spacing w:before="40" w:after="40"/>
              <w:jc w:val="left"/>
            </w:pPr>
            <w:r>
              <w:rPr>
                <w:rFonts w:ascii="Arial" w:hAnsi="Arial"/>
                <w:b/>
                <w:color w:val="1A2744"/>
                <w:sz w:val="19"/>
              </w:rPr>
              <w:t>Tier 3 — Court Case</w:t>
            </w:r>
          </w:p>
        </w:tc>
        <w:tc>
          <w:tcPr>
            <w:tcW w:type="dxa" w:w="4608"/>
            <w:shd w:val="clear" w:color="auto" w:fill="F7F3EB"/>
          </w:tcPr>
          <w:p>
            <w:pPr>
              <w:spacing w:before="40" w:after="40"/>
              <w:jc w:val="left"/>
            </w:pPr>
            <w:r>
              <w:rPr>
                <w:rFonts w:ascii="Arial" w:hAnsi="Arial"/>
                <w:b w:val="0"/>
                <w:sz w:val="19"/>
              </w:rPr>
              <w:t>Requires Italian court proceedings (e.g., 1948 rule azione di stato). Consultant coordinates with Italian legal counsel. Legal fees are separate and disclosed in advance.</w:t>
            </w:r>
          </w:p>
        </w:tc>
        <w:tc>
          <w:tcPr>
            <w:tcW w:type="dxa" w:w="1872"/>
            <w:shd w:val="clear" w:color="auto" w:fill="F7F3EB"/>
          </w:tcPr>
          <w:p>
            <w:pPr>
              <w:spacing w:before="40" w:after="40"/>
              <w:jc w:val="center"/>
            </w:pPr>
            <w:r>
              <w:rPr>
                <w:rFonts w:ascii="Arial" w:hAnsi="Arial"/>
                <w:b/>
                <w:color w:val="1A2744"/>
                <w:sz w:val="19"/>
              </w:rPr>
              <w:t>$4,000 – $6,000</w:t>
              <w:br/>
              <w:t>+ legal fees</w:t>
            </w:r>
          </w:p>
        </w:tc>
      </w:tr>
    </w:tbl>
    <w:p>
      <w:pPr>
        <w:spacing w:before="0" w:after="120"/>
        <w:jc w:val="left"/>
      </w:pPr>
    </w:p>
    <w:p>
      <w:pPr>
        <w:spacing w:before="280" w:after="60"/>
        <w:jc w:val="left"/>
      </w:pPr>
      <w:r>
        <w:rPr>
          <w:rFonts w:ascii="Arial" w:hAnsi="Arial"/>
          <w:b/>
          <w:i w:val="0"/>
          <w:color w:val="1A2744"/>
          <w:sz w:val="20"/>
        </w:rPr>
        <w:t>3.  INITIAL ELIGIBILITY ASSESSMENT</w:t>
      </w:r>
    </w:p>
    <w:p>
      <w:pPr>
        <w:spacing w:before="0" w:after="0"/>
        <w:pBdr>
          <w:bottom w:val="single" w:sz="6" w:space="1" w:color="1A2744"/>
        </w:pBdr>
      </w:pPr>
    </w:p>
    <w:p>
      <w:pPr>
        <w:spacing w:before="0" w:after="80"/>
        <w:jc w:val="left"/>
      </w:pPr>
    </w:p>
    <w:p>
      <w:pPr>
        <w:spacing w:before="0" w:after="80"/>
        <w:jc w:val="left"/>
      </w:pPr>
      <w:r>
        <w:rPr>
          <w:rFonts w:ascii="Arial" w:hAnsi="Arial"/>
          <w:b w:val="0"/>
          <w:i w:val="0"/>
          <w:sz w:val="20"/>
        </w:rPr>
        <w:t>Prior to committing to a full service engagement, the Client may book a standalone eligibility assessment. The Consultant will review the lineage, identify the Italian ancestor, assess likely case tier, and provide a written summary of findings and recommended next steps.</w:t>
      </w:r>
    </w:p>
    <w:p>
      <w:pPr>
        <w:spacing w:before="0" w:after="100"/>
      </w:pPr>
      <w:r>
        <w:rPr>
          <w:rFonts w:ascii="Arial" w:hAnsi="Arial"/>
          <w:b/>
          <w:i w:val="0"/>
          <w:color w:val="1A2744"/>
          <w:sz w:val="20"/>
        </w:rPr>
        <w:t xml:space="preserve">Fee: </w:t>
      </w:r>
      <w:r>
        <w:rPr>
          <w:rFonts w:ascii="Arial" w:hAnsi="Arial"/>
          <w:b w:val="0"/>
          <w:i w:val="0"/>
          <w:sz w:val="20"/>
        </w:rPr>
        <w:t>$200 – $300 (credited toward the full service fee if the Client proceeds).</w:t>
      </w:r>
    </w:p>
    <w:p>
      <w:pPr>
        <w:spacing w:before="0" w:after="120"/>
        <w:jc w:val="left"/>
      </w:pPr>
    </w:p>
    <w:p>
      <w:pPr>
        <w:spacing w:before="280" w:after="60"/>
        <w:jc w:val="left"/>
      </w:pPr>
      <w:r>
        <w:rPr>
          <w:rFonts w:ascii="Arial" w:hAnsi="Arial"/>
          <w:b/>
          <w:i w:val="0"/>
          <w:color w:val="1A2744"/>
          <w:sz w:val="20"/>
        </w:rPr>
        <w:t>4.  WHAT IS INCLUDED</w:t>
      </w:r>
    </w:p>
    <w:p>
      <w:pPr>
        <w:spacing w:before="0" w:after="0"/>
        <w:pBdr>
          <w:bottom w:val="single" w:sz="6" w:space="1" w:color="1A2744"/>
        </w:pBdr>
      </w:pPr>
    </w:p>
    <w:p>
      <w:pPr>
        <w:spacing w:before="0" w:after="80"/>
        <w:jc w:val="left"/>
      </w:pPr>
    </w:p>
    <w:p>
      <w:pPr>
        <w:spacing w:before="0" w:after="60"/>
        <w:jc w:val="left"/>
      </w:pPr>
      <w:r>
        <w:rPr>
          <w:rFonts w:ascii="Arial" w:hAnsi="Arial"/>
          <w:b w:val="0"/>
          <w:i w:val="0"/>
          <w:sz w:val="20"/>
        </w:rPr>
        <w:t>The following are included in the flat fee for Tier 1 and Tier 2 cases:</w:t>
      </w:r>
    </w:p>
    <w:p>
      <w:pPr>
        <w:pStyle w:val="ListBullet"/>
        <w:spacing w:before="0" w:after="60"/>
      </w:pPr>
      <w:r>
        <w:rPr>
          <w:rFonts w:ascii="Arial" w:hAnsi="Arial"/>
          <w:b w:val="0"/>
          <w:i w:val="0"/>
          <w:sz w:val="20"/>
        </w:rPr>
        <w:t>Eligibility analysis and case strategy</w:t>
      </w:r>
    </w:p>
    <w:p>
      <w:pPr>
        <w:pStyle w:val="ListBullet"/>
        <w:spacing w:before="0" w:after="60"/>
      </w:pPr>
      <w:r>
        <w:rPr>
          <w:rFonts w:ascii="Arial" w:hAnsi="Arial"/>
          <w:b w:val="0"/>
          <w:i w:val="0"/>
          <w:sz w:val="20"/>
        </w:rPr>
        <w:t>Custom document checklist by generation</w:t>
      </w:r>
    </w:p>
    <w:p>
      <w:pPr>
        <w:pStyle w:val="ListBullet"/>
        <w:spacing w:before="0" w:after="60"/>
      </w:pPr>
      <w:r>
        <w:rPr>
          <w:rFonts w:ascii="Arial" w:hAnsi="Arial"/>
          <w:b w:val="0"/>
          <w:i w:val="0"/>
          <w:sz w:val="20"/>
        </w:rPr>
        <w:t>Guidance on obtaining Italian and US vital records</w:t>
      </w:r>
    </w:p>
    <w:p>
      <w:pPr>
        <w:pStyle w:val="ListBullet"/>
        <w:spacing w:before="0" w:after="60"/>
      </w:pPr>
      <w:r>
        <w:rPr>
          <w:rFonts w:ascii="Arial" w:hAnsi="Arial"/>
          <w:b w:val="0"/>
          <w:i w:val="0"/>
          <w:sz w:val="20"/>
        </w:rPr>
        <w:t>Apostille and translation guidance</w:t>
      </w:r>
    </w:p>
    <w:p>
      <w:pPr>
        <w:pStyle w:val="ListBullet"/>
        <w:spacing w:before="0" w:after="60"/>
      </w:pPr>
      <w:r>
        <w:rPr>
          <w:rFonts w:ascii="Arial" w:hAnsi="Arial"/>
          <w:b w:val="0"/>
          <w:i w:val="0"/>
          <w:sz w:val="20"/>
        </w:rPr>
        <w:t>Comune contact and correspondence support (in Italian where required)</w:t>
      </w:r>
    </w:p>
    <w:p>
      <w:pPr>
        <w:pStyle w:val="ListBullet"/>
        <w:spacing w:before="0" w:after="60"/>
      </w:pPr>
      <w:r>
        <w:rPr>
          <w:rFonts w:ascii="Arial" w:hAnsi="Arial"/>
          <w:b w:val="0"/>
          <w:i w:val="0"/>
          <w:sz w:val="20"/>
        </w:rPr>
        <w:t>Consulate appointment preparation</w:t>
      </w:r>
    </w:p>
    <w:p>
      <w:pPr>
        <w:pStyle w:val="ListBullet"/>
        <w:spacing w:before="0" w:after="60"/>
      </w:pPr>
      <w:r>
        <w:rPr>
          <w:rFonts w:ascii="Arial" w:hAnsi="Arial"/>
          <w:b w:val="0"/>
          <w:i w:val="0"/>
          <w:sz w:val="20"/>
        </w:rPr>
        <w:t>Defined number of video/call consultations as agreed at engagement</w:t>
      </w:r>
    </w:p>
    <w:p>
      <w:pPr>
        <w:pStyle w:val="ListBullet"/>
        <w:spacing w:before="0" w:after="60"/>
      </w:pPr>
      <w:r>
        <w:rPr>
          <w:rFonts w:ascii="Arial" w:hAnsi="Arial"/>
          <w:b w:val="0"/>
          <w:i w:val="0"/>
          <w:sz w:val="20"/>
        </w:rPr>
        <w:t>Written communication via email throughout the process</w:t>
      </w:r>
    </w:p>
    <w:p>
      <w:pPr>
        <w:spacing w:before="0" w:after="80"/>
        <w:jc w:val="left"/>
      </w:pPr>
    </w:p>
    <w:p>
      <w:pPr>
        <w:spacing w:before="0" w:after="60"/>
        <w:jc w:val="left"/>
      </w:pPr>
      <w:r>
        <w:rPr>
          <w:rFonts w:ascii="Arial" w:hAnsi="Arial"/>
          <w:b w:val="0"/>
          <w:i w:val="0"/>
          <w:sz w:val="20"/>
        </w:rPr>
        <w:t>The following are not included and will incur separate costs:</w:t>
      </w:r>
    </w:p>
    <w:p>
      <w:pPr>
        <w:pStyle w:val="ListBullet"/>
        <w:spacing w:before="0" w:after="60"/>
      </w:pPr>
      <w:r>
        <w:rPr>
          <w:rFonts w:ascii="Arial" w:hAnsi="Arial"/>
          <w:b w:val="0"/>
          <w:i w:val="0"/>
          <w:sz w:val="20"/>
        </w:rPr>
        <w:t>Government fees, consulate fees, and apostille fees</w:t>
      </w:r>
    </w:p>
    <w:p>
      <w:pPr>
        <w:pStyle w:val="ListBullet"/>
        <w:spacing w:before="0" w:after="60"/>
      </w:pPr>
      <w:r>
        <w:rPr>
          <w:rFonts w:ascii="Arial" w:hAnsi="Arial"/>
          <w:b w:val="0"/>
          <w:i w:val="0"/>
          <w:sz w:val="20"/>
        </w:rPr>
        <w:t>Document procurement, translation, and courier costs</w:t>
      </w:r>
    </w:p>
    <w:p>
      <w:pPr>
        <w:pStyle w:val="ListBullet"/>
        <w:spacing w:before="0" w:after="60"/>
      </w:pPr>
      <w:r>
        <w:rPr>
          <w:rFonts w:ascii="Arial" w:hAnsi="Arial"/>
          <w:b w:val="0"/>
          <w:i w:val="0"/>
          <w:sz w:val="20"/>
        </w:rPr>
        <w:t>Italian legal representation for court proceedings (Tier 3)</w:t>
      </w:r>
    </w:p>
    <w:p>
      <w:pPr>
        <w:pStyle w:val="ListBullet"/>
        <w:spacing w:before="0" w:after="60"/>
      </w:pPr>
      <w:r>
        <w:rPr>
          <w:rFonts w:ascii="Arial" w:hAnsi="Arial"/>
          <w:b w:val="0"/>
          <w:i w:val="0"/>
          <w:sz w:val="20"/>
        </w:rPr>
        <w:t>Any services not explicitly described in this Agreement</w:t>
      </w:r>
    </w:p>
    <w:p>
      <w:pPr>
        <w:spacing w:before="0" w:after="120"/>
        <w:jc w:val="left"/>
      </w:pPr>
    </w:p>
    <w:p>
      <w:pPr>
        <w:spacing w:before="280" w:after="60"/>
        <w:jc w:val="left"/>
      </w:pPr>
      <w:r>
        <w:rPr>
          <w:rFonts w:ascii="Arial" w:hAnsi="Arial"/>
          <w:b/>
          <w:i w:val="0"/>
          <w:color w:val="1A2744"/>
          <w:sz w:val="20"/>
        </w:rPr>
        <w:t>5.  COMPLEXITY UPGRADE CLAUSE</w:t>
      </w:r>
    </w:p>
    <w:p>
      <w:pPr>
        <w:spacing w:before="0" w:after="0"/>
        <w:pBdr>
          <w:bottom w:val="single" w:sz="6" w:space="1" w:color="1A2744"/>
        </w:pBdr>
      </w:pPr>
    </w:p>
    <w:p>
      <w:pPr>
        <w:spacing w:before="0" w:after="80"/>
        <w:jc w:val="left"/>
      </w:pPr>
    </w:p>
    <w:p>
      <w:pPr>
        <w:spacing w:before="0" w:after="160"/>
        <w:jc w:val="left"/>
      </w:pPr>
      <w:r>
        <w:rPr>
          <w:rFonts w:ascii="Arial" w:hAnsi="Arial"/>
          <w:b w:val="0"/>
          <w:i w:val="0"/>
          <w:sz w:val="20"/>
        </w:rPr>
        <w:t>If new information emerges during the engagement that materially changes the complexity classification of the case — for example, a minor issue is identified that was not apparent at the time of assessment, or records reveal a court case is required — the Consultant will notify the Client in writing. Both parties agree to renegotiate the fee before any additional work proceeds. No additional charges will be applied without the Client's written agreement.</w:t>
      </w:r>
    </w:p>
    <w:p>
      <w:pPr>
        <w:spacing w:before="280" w:after="60"/>
        <w:jc w:val="left"/>
      </w:pPr>
      <w:r>
        <w:rPr>
          <w:rFonts w:ascii="Arial" w:hAnsi="Arial"/>
          <w:b/>
          <w:i w:val="0"/>
          <w:color w:val="1A2744"/>
          <w:sz w:val="20"/>
        </w:rPr>
        <w:t>6.  ANNUAL CONTINUITY FEE</w:t>
      </w:r>
    </w:p>
    <w:p>
      <w:pPr>
        <w:spacing w:before="0" w:after="0"/>
        <w:pBdr>
          <w:bottom w:val="single" w:sz="6" w:space="1" w:color="1A2744"/>
        </w:pBdr>
      </w:pPr>
    </w:p>
    <w:p>
      <w:pPr>
        <w:spacing w:before="0" w:after="80"/>
        <w:jc w:val="left"/>
      </w:pPr>
    </w:p>
    <w:p>
      <w:pPr>
        <w:spacing w:before="0" w:after="0"/>
        <w:jc w:val="left"/>
      </w:pPr>
      <w:r>
        <w:rPr>
          <w:rFonts w:ascii="Arial" w:hAnsi="Arial"/>
          <w:b w:val="0"/>
          <w:i w:val="0"/>
          <w:sz w:val="20"/>
        </w:rPr>
        <w:t xml:space="preserve">Italian citizenship cases often involve extended waiting periods due to comune backlogs, consulate queues, and document processing times outside the control of either party. For any case that remains active after 12 months from the date of this Agreement, an Annual Continuity Fee of </w:t>
      </w:r>
    </w:p>
    <w:p>
      <w:pPr>
        <w:spacing w:before="0" w:after="80"/>
      </w:pPr>
      <w:r>
        <w:rPr>
          <w:rFonts w:ascii="Arial" w:hAnsi="Arial"/>
          <w:b/>
          <w:i w:val="0"/>
          <w:color w:val="1A2744"/>
          <w:sz w:val="20"/>
        </w:rPr>
        <w:t>$300 – $500 per year</w:t>
      </w:r>
      <w:r>
        <w:rPr>
          <w:rFonts w:ascii="Arial" w:hAnsi="Arial"/>
          <w:b w:val="0"/>
          <w:i w:val="0"/>
          <w:sz w:val="20"/>
        </w:rPr>
        <w:t xml:space="preserve"> will apply. This covers ongoing case management, follow-up correspondence, monitoring of status changes, and continued availability of the Consultant. The fee will be invoiced annually and agreed between the parties at the time of renewal.</w:t>
      </w:r>
    </w:p>
    <w:p>
      <w:pPr>
        <w:spacing w:before="0" w:after="120"/>
        <w:jc w:val="left"/>
      </w:pPr>
    </w:p>
    <w:p>
      <w:pPr>
        <w:spacing w:before="280" w:after="60"/>
        <w:jc w:val="left"/>
      </w:pPr>
      <w:r>
        <w:rPr>
          <w:rFonts w:ascii="Arial" w:hAnsi="Arial"/>
          <w:b/>
          <w:i w:val="0"/>
          <w:color w:val="1A2744"/>
          <w:sz w:val="20"/>
        </w:rPr>
        <w:t>7.  CLIENT RESPONSIBILITIES</w:t>
      </w:r>
    </w:p>
    <w:p>
      <w:pPr>
        <w:spacing w:before="0" w:after="0"/>
        <w:pBdr>
          <w:bottom w:val="single" w:sz="6" w:space="1" w:color="1A2744"/>
        </w:pBdr>
      </w:pPr>
    </w:p>
    <w:p>
      <w:pPr>
        <w:spacing w:before="0" w:after="80"/>
        <w:jc w:val="left"/>
      </w:pPr>
    </w:p>
    <w:p>
      <w:pPr>
        <w:spacing w:before="0" w:after="60"/>
        <w:jc w:val="left"/>
      </w:pPr>
      <w:r>
        <w:rPr>
          <w:rFonts w:ascii="Arial" w:hAnsi="Arial"/>
          <w:b w:val="0"/>
          <w:i w:val="0"/>
          <w:sz w:val="20"/>
        </w:rPr>
        <w:t>The Client agrees to:</w:t>
      </w:r>
    </w:p>
    <w:p>
      <w:pPr>
        <w:pStyle w:val="ListBullet"/>
        <w:spacing w:before="0" w:after="60"/>
      </w:pPr>
      <w:r>
        <w:rPr>
          <w:rFonts w:ascii="Arial" w:hAnsi="Arial"/>
          <w:b w:val="0"/>
          <w:i w:val="0"/>
          <w:sz w:val="20"/>
        </w:rPr>
        <w:t>Provide accurate, complete, and timely information about their family history and lineage</w:t>
      </w:r>
    </w:p>
    <w:p>
      <w:pPr>
        <w:pStyle w:val="ListBullet"/>
        <w:spacing w:before="0" w:after="60"/>
      </w:pPr>
      <w:r>
        <w:rPr>
          <w:rFonts w:ascii="Arial" w:hAnsi="Arial"/>
          <w:b w:val="0"/>
          <w:i w:val="0"/>
          <w:sz w:val="20"/>
        </w:rPr>
        <w:t>Respond to requests for information or documents within a reasonable timeframe</w:t>
      </w:r>
    </w:p>
    <w:p>
      <w:pPr>
        <w:pStyle w:val="ListBullet"/>
        <w:spacing w:before="0" w:after="60"/>
      </w:pPr>
      <w:r>
        <w:rPr>
          <w:rFonts w:ascii="Arial" w:hAnsi="Arial"/>
          <w:b w:val="0"/>
          <w:i w:val="0"/>
          <w:sz w:val="20"/>
        </w:rPr>
        <w:t>Notify the Consultant promptly of any changes in circumstances relevant to the case</w:t>
      </w:r>
    </w:p>
    <w:p>
      <w:pPr>
        <w:pStyle w:val="ListBullet"/>
        <w:spacing w:before="0" w:after="60"/>
      </w:pPr>
      <w:r>
        <w:rPr>
          <w:rFonts w:ascii="Arial" w:hAnsi="Arial"/>
          <w:b w:val="0"/>
          <w:i w:val="0"/>
          <w:sz w:val="20"/>
        </w:rPr>
        <w:t>Obtain and pay for required documents, translations, and government fees independently</w:t>
      </w:r>
    </w:p>
    <w:p>
      <w:pPr>
        <w:pStyle w:val="ListBullet"/>
        <w:spacing w:before="0" w:after="60"/>
      </w:pPr>
      <w:r>
        <w:rPr>
          <w:rFonts w:ascii="Arial" w:hAnsi="Arial"/>
          <w:b w:val="0"/>
          <w:i w:val="0"/>
          <w:sz w:val="20"/>
        </w:rPr>
        <w:t>Attend consulate or comune appointments as required</w:t>
      </w:r>
    </w:p>
    <w:p>
      <w:pPr>
        <w:spacing w:before="0" w:after="120"/>
        <w:jc w:val="left"/>
      </w:pPr>
    </w:p>
    <w:p>
      <w:pPr>
        <w:spacing w:before="280" w:after="60"/>
        <w:jc w:val="left"/>
      </w:pPr>
      <w:r>
        <w:rPr>
          <w:rFonts w:ascii="Arial" w:hAnsi="Arial"/>
          <w:b/>
          <w:i w:val="0"/>
          <w:color w:val="1A2744"/>
          <w:sz w:val="20"/>
        </w:rPr>
        <w:t>8.  IMPORTANT LIMITATIONS</w:t>
      </w:r>
    </w:p>
    <w:p>
      <w:pPr>
        <w:spacing w:before="0" w:after="0"/>
        <w:pBdr>
          <w:bottom w:val="single" w:sz="6" w:space="1" w:color="1A2744"/>
        </w:pBdr>
      </w:pPr>
    </w:p>
    <w:p>
      <w:pPr>
        <w:spacing w:before="0" w:after="80"/>
        <w:jc w:val="left"/>
      </w:pPr>
    </w:p>
    <w:p>
      <w:pPr>
        <w:spacing w:before="0" w:after="80"/>
        <w:jc w:val="left"/>
      </w:pPr>
      <w:r>
        <w:rPr>
          <w:rFonts w:ascii="Arial" w:hAnsi="Arial"/>
          <w:b w:val="0"/>
          <w:i w:val="0"/>
          <w:sz w:val="20"/>
        </w:rPr>
        <w:t>The Consultant is not a licensed attorney and does not provide legal advice. Services provided under this Agreement are consulting and guidance services based on personal experience and knowledge of the Italian citizenship process. Nothing in this Agreement or in the Consultant's communications constitutes legal advice or creates an attorney-client relationship.</w:t>
      </w:r>
    </w:p>
    <w:p>
      <w:pPr>
        <w:spacing w:before="0" w:after="160"/>
        <w:jc w:val="left"/>
      </w:pPr>
      <w:r>
        <w:rPr>
          <w:rFonts w:ascii="Arial" w:hAnsi="Arial"/>
          <w:b w:val="0"/>
          <w:i w:val="0"/>
          <w:sz w:val="20"/>
        </w:rPr>
        <w:t>Italian citizenship law is subject to change. The Consultant will make reasonable efforts to stay current with legal developments but cannot guarantee outcomes or that information provided will remain accurate as laws evolve. Clients with complex legal situations are encouraged to seek independent legal advice from a licensed Italian attorney.</w:t>
      </w:r>
    </w:p>
    <w:p>
      <w:pPr>
        <w:spacing w:before="280" w:after="60"/>
        <w:jc w:val="left"/>
      </w:pPr>
      <w:r>
        <w:rPr>
          <w:rFonts w:ascii="Arial" w:hAnsi="Arial"/>
          <w:b/>
          <w:i w:val="0"/>
          <w:color w:val="1A2744"/>
          <w:sz w:val="20"/>
        </w:rPr>
        <w:t>9.  FEES AND PAYMENT</w:t>
      </w:r>
    </w:p>
    <w:p>
      <w:pPr>
        <w:spacing w:before="0" w:after="0"/>
        <w:pBdr>
          <w:bottom w:val="single" w:sz="6" w:space="1" w:color="1A2744"/>
        </w:pBdr>
      </w:pPr>
    </w:p>
    <w:p>
      <w:pPr>
        <w:spacing w:before="0" w:after="80"/>
        <w:jc w:val="left"/>
      </w:pPr>
    </w:p>
    <w:p>
      <w:pPr>
        <w:pStyle w:val="ListBullet"/>
        <w:spacing w:before="0" w:after="60"/>
      </w:pPr>
      <w:r>
        <w:rPr>
          <w:rFonts w:ascii="Arial" w:hAnsi="Arial"/>
          <w:b w:val="0"/>
          <w:i w:val="0"/>
          <w:sz w:val="20"/>
        </w:rPr>
        <w:t>A deposit of 50% of the agreed fee is due upon signing this Agreement.</w:t>
      </w:r>
    </w:p>
    <w:p>
      <w:pPr>
        <w:pStyle w:val="ListBullet"/>
        <w:spacing w:before="0" w:after="60"/>
      </w:pPr>
      <w:r>
        <w:rPr>
          <w:rFonts w:ascii="Arial" w:hAnsi="Arial"/>
          <w:b w:val="0"/>
          <w:i w:val="0"/>
          <w:sz w:val="20"/>
        </w:rPr>
        <w:t>The remaining 50% is due upon completion of the consulate submission package, or at an agreed milestone.</w:t>
      </w:r>
    </w:p>
    <w:p>
      <w:pPr>
        <w:pStyle w:val="ListBullet"/>
        <w:spacing w:before="0" w:after="60"/>
      </w:pPr>
      <w:r>
        <w:rPr>
          <w:rFonts w:ascii="Arial" w:hAnsi="Arial"/>
          <w:b w:val="0"/>
          <w:i w:val="0"/>
          <w:sz w:val="20"/>
        </w:rPr>
        <w:t>For Tier 3 cases, a payment schedule will be agreed separately given the extended timeline.</w:t>
      </w:r>
    </w:p>
    <w:p>
      <w:pPr>
        <w:pStyle w:val="ListBullet"/>
        <w:spacing w:before="0" w:after="60"/>
      </w:pPr>
      <w:r>
        <w:rPr>
          <w:rFonts w:ascii="Arial" w:hAnsi="Arial"/>
          <w:b w:val="0"/>
          <w:i w:val="0"/>
          <w:sz w:val="20"/>
        </w:rPr>
        <w:t>All fees are in US Dollars unless otherwise agreed in writing.</w:t>
      </w:r>
    </w:p>
    <w:p>
      <w:pPr>
        <w:pStyle w:val="ListBullet"/>
        <w:spacing w:before="0" w:after="60"/>
      </w:pPr>
      <w:r>
        <w:rPr>
          <w:rFonts w:ascii="Arial" w:hAnsi="Arial"/>
          <w:b w:val="0"/>
          <w:i w:val="0"/>
          <w:sz w:val="20"/>
        </w:rPr>
        <w:t>Fees paid are non-refundable for work already completed.</w:t>
      </w:r>
    </w:p>
    <w:p>
      <w:pPr>
        <w:spacing w:before="0" w:after="120"/>
        <w:jc w:val="left"/>
      </w:pPr>
    </w:p>
    <w:p>
      <w:pPr>
        <w:spacing w:before="280" w:after="60"/>
        <w:jc w:val="left"/>
      </w:pPr>
      <w:r>
        <w:rPr>
          <w:rFonts w:ascii="Arial" w:hAnsi="Arial"/>
          <w:b/>
          <w:i w:val="0"/>
          <w:color w:val="1A2744"/>
          <w:sz w:val="20"/>
        </w:rPr>
        <w:t>10.  CONFIDENTIALITY</w:t>
      </w:r>
    </w:p>
    <w:p>
      <w:pPr>
        <w:spacing w:before="0" w:after="0"/>
        <w:pBdr>
          <w:bottom w:val="single" w:sz="6" w:space="1" w:color="1A2744"/>
        </w:pBdr>
      </w:pPr>
    </w:p>
    <w:p>
      <w:pPr>
        <w:spacing w:before="0" w:after="80"/>
        <w:jc w:val="left"/>
      </w:pPr>
    </w:p>
    <w:p>
      <w:pPr>
        <w:spacing w:before="0" w:after="160"/>
        <w:jc w:val="left"/>
      </w:pPr>
      <w:r>
        <w:rPr>
          <w:rFonts w:ascii="Arial" w:hAnsi="Arial"/>
          <w:b w:val="0"/>
          <w:i w:val="0"/>
          <w:sz w:val="20"/>
        </w:rPr>
        <w:t>The Consultant will keep all personal information and family records shared by the Client strictly confidential. Information will not be shared with third parties except where necessary to perform the services (e.g., Italian lawyer collaborators in Tier 3 cases), and only with the Client's knowledge. The Client's information will never be used for marketing purposes.</w:t>
      </w:r>
    </w:p>
    <w:p>
      <w:pPr>
        <w:spacing w:before="280" w:after="60"/>
        <w:jc w:val="left"/>
      </w:pPr>
      <w:r>
        <w:rPr>
          <w:rFonts w:ascii="Arial" w:hAnsi="Arial"/>
          <w:b/>
          <w:i w:val="0"/>
          <w:color w:val="1A2744"/>
          <w:sz w:val="20"/>
        </w:rPr>
        <w:t>11.  TERMINATION</w:t>
      </w:r>
    </w:p>
    <w:p>
      <w:pPr>
        <w:spacing w:before="0" w:after="0"/>
        <w:pBdr>
          <w:bottom w:val="single" w:sz="6" w:space="1" w:color="1A2744"/>
        </w:pBdr>
      </w:pPr>
    </w:p>
    <w:p>
      <w:pPr>
        <w:spacing w:before="0" w:after="80"/>
        <w:jc w:val="left"/>
      </w:pPr>
    </w:p>
    <w:p>
      <w:pPr>
        <w:spacing w:before="0" w:after="160"/>
        <w:jc w:val="left"/>
      </w:pPr>
      <w:r>
        <w:rPr>
          <w:rFonts w:ascii="Arial" w:hAnsi="Arial"/>
          <w:b w:val="0"/>
          <w:i w:val="0"/>
          <w:sz w:val="20"/>
        </w:rPr>
        <w:t>Either party may terminate this Agreement with 14 days written notice. In the event of termination, the Client will pay for all work completed up to the termination date, calculated on a pro-rata basis against the agreed flat fee. Any unused portion of a deposit will be refunded within 14 days of termination.</w:t>
      </w:r>
    </w:p>
    <w:p>
      <w:pPr>
        <w:spacing w:before="280" w:after="60"/>
        <w:jc w:val="left"/>
      </w:pPr>
      <w:r>
        <w:rPr>
          <w:rFonts w:ascii="Arial" w:hAnsi="Arial"/>
          <w:b/>
          <w:i w:val="0"/>
          <w:color w:val="1A2744"/>
          <w:sz w:val="20"/>
        </w:rPr>
        <w:t>12.  GOVERNING LAW</w:t>
      </w:r>
    </w:p>
    <w:p>
      <w:pPr>
        <w:spacing w:before="0" w:after="0"/>
        <w:pBdr>
          <w:bottom w:val="single" w:sz="6" w:space="1" w:color="1A2744"/>
        </w:pBdr>
      </w:pPr>
    </w:p>
    <w:p>
      <w:pPr>
        <w:spacing w:before="0" w:after="80"/>
        <w:jc w:val="left"/>
      </w:pPr>
    </w:p>
    <w:p>
      <w:pPr>
        <w:spacing w:before="0" w:after="240"/>
        <w:jc w:val="left"/>
      </w:pPr>
      <w:r>
        <w:rPr>
          <w:rFonts w:ascii="Arial" w:hAnsi="Arial"/>
          <w:b w:val="0"/>
          <w:i w:val="0"/>
          <w:sz w:val="20"/>
        </w:rPr>
        <w:t>This Agreement shall be governed by and interpreted in accordance with Italian law. Any disputes arising from this Agreement will be resolved through good-faith negotiation in the first instance. If resolution cannot be reached, disputes will be referred to the competent courts of Naples, Italy.</w:t>
      </w:r>
    </w:p>
    <w:p>
      <w:pPr>
        <w:spacing w:before="0" w:after="0"/>
        <w:pBdr>
          <w:bottom w:val="single" w:sz="12" w:space="1" w:color="C9A84C"/>
        </w:pBdr>
      </w:pPr>
    </w:p>
    <w:p>
      <w:pPr>
        <w:spacing w:before="0" w:after="80"/>
        <w:jc w:val="left"/>
      </w:pPr>
    </w:p>
    <w:p>
      <w:pPr>
        <w:spacing w:before="0" w:after="200"/>
        <w:jc w:val="center"/>
      </w:pPr>
      <w:r>
        <w:rPr>
          <w:rFonts w:ascii="Arial" w:hAnsi="Arial"/>
          <w:b/>
          <w:i w:val="0"/>
          <w:color w:val="1A2744"/>
          <w:sz w:val="20"/>
        </w:rPr>
        <w:t>AGREED AND ACCEPTED</w:t>
      </w:r>
    </w:p>
    <w:tbl>
      <w:tblPr>
        <w:tblStyle w:val="TableGrid"/>
        <w:tblW w:type="auto" w:w="0"/>
        <w:tblLook w:firstColumn="1" w:firstRow="1" w:lastColumn="0" w:lastRow="0" w:noHBand="0" w:noVBand="1" w:val="04A0"/>
      </w:tblPr>
      <w:tblGrid>
        <w:gridCol w:w="4320"/>
        <w:gridCol w:w="4320"/>
      </w:tblGrid>
      <w:tr>
        <w:tc>
          <w:tcPr>
            <w:tcW w:type="dxa" w:w="4320"/>
            <w:tcBorders>
              <w:top w:val="none"/>
              <w:left w:val="none"/>
              <w:bottom w:val="none"/>
              <w:right w:val="none"/>
            </w:tcBorders>
          </w:tcPr>
          <w:p>
            <w:pPr>
              <w:spacing w:before="60" w:after="60"/>
            </w:pPr>
            <w:r>
              <w:rPr>
                <w:rFonts w:ascii="Arial" w:hAnsi="Arial"/>
                <w:b/>
                <w:color w:val="1A2744"/>
                <w:sz w:val="19"/>
              </w:rPr>
              <w:t>Consultant</w:t>
            </w:r>
          </w:p>
        </w:tc>
        <w:tc>
          <w:tcPr>
            <w:tcW w:type="dxa" w:w="4320"/>
            <w:tcBorders>
              <w:top w:val="none"/>
              <w:left w:val="none"/>
              <w:bottom w:val="none"/>
              <w:right w:val="none"/>
            </w:tcBorders>
          </w:tcPr>
          <w:p>
            <w:pPr>
              <w:spacing w:before="60" w:after="60"/>
            </w:pPr>
            <w:r>
              <w:rPr>
                <w:rFonts w:ascii="Arial" w:hAnsi="Arial"/>
                <w:b/>
                <w:color w:val="1A2744"/>
                <w:sz w:val="19"/>
              </w:rPr>
              <w:t>Client</w:t>
            </w:r>
          </w:p>
        </w:tc>
      </w:tr>
      <w:tr>
        <w:tc>
          <w:tcPr>
            <w:tcW w:type="dxa" w:w="4320"/>
            <w:tcBorders>
              <w:top w:val="none"/>
              <w:left w:val="none"/>
              <w:bottom w:val="none"/>
              <w:right w:val="none"/>
            </w:tcBorders>
          </w:tcPr>
          <w:p>
            <w:pPr>
              <w:spacing w:before="60" w:after="60"/>
            </w:pPr>
            <w:r>
              <w:rPr>
                <w:rFonts w:ascii="Arial" w:hAnsi="Arial"/>
                <w:b w:val="0"/>
                <w:sz w:val="19"/>
              </w:rPr>
              <w:t>Erik Holzer / ItalianToBe</w:t>
            </w:r>
          </w:p>
        </w:tc>
        <w:tc>
          <w:tcPr>
            <w:tcW w:type="dxa" w:w="4320"/>
            <w:tcBorders>
              <w:top w:val="none"/>
              <w:left w:val="none"/>
              <w:bottom w:val="none"/>
              <w:right w:val="none"/>
            </w:tcBorders>
          </w:tcPr>
          <w:p>
            <w:pPr>
              <w:spacing w:before="60" w:after="60"/>
            </w:pPr>
            <w:r>
              <w:rPr>
                <w:rFonts w:ascii="Arial" w:hAnsi="Arial"/>
                <w:b w:val="0"/>
                <w:sz w:val="19"/>
              </w:rPr>
            </w:r>
          </w:p>
        </w:tc>
      </w:tr>
      <w:tr>
        <w:tc>
          <w:tcPr>
            <w:tcW w:type="dxa" w:w="4320"/>
            <w:tcBorders>
              <w:top w:val="none"/>
              <w:left w:val="none"/>
              <w:bottom w:val="none"/>
              <w:right w:val="none"/>
            </w:tcBorders>
          </w:tcPr>
          <w:p>
            <w:pPr>
              <w:spacing w:before="60" w:after="60"/>
            </w:pPr>
            <w:r>
              <w:rPr>
                <w:rFonts w:ascii="Arial" w:hAnsi="Arial"/>
                <w:b w:val="0"/>
                <w:sz w:val="19"/>
              </w:rPr>
              <w:t>Signature: ___________________</w:t>
            </w:r>
          </w:p>
        </w:tc>
        <w:tc>
          <w:tcPr>
            <w:tcW w:type="dxa" w:w="4320"/>
            <w:tcBorders>
              <w:top w:val="none"/>
              <w:left w:val="none"/>
              <w:bottom w:val="none"/>
              <w:right w:val="none"/>
            </w:tcBorders>
          </w:tcPr>
          <w:p>
            <w:pPr>
              <w:spacing w:before="60" w:after="60"/>
            </w:pPr>
            <w:r>
              <w:rPr>
                <w:rFonts w:ascii="Arial" w:hAnsi="Arial"/>
                <w:b w:val="0"/>
                <w:sz w:val="19"/>
              </w:rPr>
              <w:t>Signature: ___________________</w:t>
            </w:r>
          </w:p>
        </w:tc>
      </w:tr>
      <w:tr>
        <w:tc>
          <w:tcPr>
            <w:tcW w:type="dxa" w:w="4320"/>
            <w:tcBorders>
              <w:top w:val="none"/>
              <w:left w:val="none"/>
              <w:bottom w:val="none"/>
              <w:right w:val="none"/>
            </w:tcBorders>
          </w:tcPr>
          <w:p>
            <w:pPr>
              <w:spacing w:before="60" w:after="60"/>
            </w:pPr>
            <w:r>
              <w:rPr>
                <w:rFonts w:ascii="Arial" w:hAnsi="Arial"/>
                <w:b w:val="0"/>
                <w:sz w:val="19"/>
              </w:rPr>
              <w:t>Date: ________________________</w:t>
            </w:r>
          </w:p>
        </w:tc>
        <w:tc>
          <w:tcPr>
            <w:tcW w:type="dxa" w:w="4320"/>
            <w:tcBorders>
              <w:top w:val="none"/>
              <w:left w:val="none"/>
              <w:bottom w:val="none"/>
              <w:right w:val="none"/>
            </w:tcBorders>
          </w:tcPr>
          <w:p>
            <w:pPr>
              <w:spacing w:before="60" w:after="60"/>
            </w:pPr>
            <w:r>
              <w:rPr>
                <w:rFonts w:ascii="Arial" w:hAnsi="Arial"/>
                <w:b w:val="0"/>
                <w:sz w:val="19"/>
              </w:rPr>
              <w:t>Date: ________________________</w:t>
            </w:r>
          </w:p>
        </w:tc>
      </w:tr>
    </w:tbl>
    <w:p>
      <w:pPr>
        <w:spacing w:before="0" w:after="160"/>
        <w:jc w:val="left"/>
      </w:pPr>
    </w:p>
    <w:p>
      <w:pPr>
        <w:spacing w:before="0" w:after="0"/>
        <w:pBdr>
          <w:bottom w:val="single" w:sz="6" w:space="1" w:color="C9A84C"/>
        </w:pBdr>
      </w:pPr>
    </w:p>
    <w:p>
      <w:pPr>
        <w:spacing w:before="80" w:after="40"/>
        <w:jc w:val="center"/>
      </w:pPr>
      <w:r>
        <w:rPr>
          <w:rFonts w:ascii="Arial" w:hAnsi="Arial"/>
          <w:b w:val="0"/>
          <w:i w:val="0"/>
          <w:color w:val="6B7280"/>
          <w:sz w:val="16"/>
        </w:rPr>
        <w:t>ItalianToBe  ·  italiantobe.com  ·  Naples, Italy  ·  erikholzer1@gmail.com</w:t>
      </w:r>
    </w:p>
    <w:p>
      <w:pPr>
        <w:spacing w:before="0" w:after="0"/>
        <w:jc w:val="center"/>
      </w:pPr>
      <w:r>
        <w:rPr>
          <w:rFonts w:ascii="Arial" w:hAnsi="Arial"/>
          <w:b w:val="0"/>
          <w:i/>
          <w:color w:val="6B7280"/>
          <w:sz w:val="16"/>
        </w:rPr>
        <w:t>This is a consulting services agreement. It does not constitute legal advice or legal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