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A280D3" w14:textId="3916BE40" w:rsidR="00F33F20" w:rsidRDefault="00F33F20" w:rsidP="00F33F20">
      <w:pPr>
        <w:pStyle w:val="Heading1"/>
      </w:pPr>
      <w:r>
        <w:t>Mobilizing stranded talent</w:t>
      </w:r>
    </w:p>
    <w:p w14:paraId="2A0A9B76" w14:textId="77777777" w:rsidR="00F33F20" w:rsidRDefault="00F33F20" w:rsidP="00F33F20"/>
    <w:p w14:paraId="4E1317E1" w14:textId="249E0552" w:rsidR="00496F61" w:rsidRDefault="00496F61" w:rsidP="00496F61">
      <w:pPr>
        <w:pStyle w:val="Heading2"/>
      </w:pPr>
      <w:r>
        <w:t>Introduction</w:t>
      </w:r>
    </w:p>
    <w:p w14:paraId="5876FC28" w14:textId="77777777" w:rsidR="002D7D1A" w:rsidRPr="002D7D1A" w:rsidRDefault="002D7D1A" w:rsidP="002D7D1A">
      <w:r>
        <w:t xml:space="preserve">Tennessee's economy has a lot to feel good about. Employment is up, major employers continue to invest in the state, and cities like Nashville have established themselves as some of the South's most dynamic economic </w:t>
      </w:r>
      <w:proofErr w:type="spellStart"/>
      <w:r>
        <w:t>centers</w:t>
      </w:r>
      <w:proofErr w:type="spellEnd"/>
      <w:r>
        <w:t xml:space="preserve">. But behind those headline numbers, a significant portion of Tennessee's workforce is stuck — employed, but in jobs that pay too little, don't make use of what they know and can do, or offer no real path forward. This report calls that condition </w:t>
      </w:r>
      <w:proofErr w:type="spellStart"/>
      <w:r>
        <w:t>strandedness</w:t>
      </w:r>
      <w:proofErr w:type="spellEnd"/>
      <w:r>
        <w:t>.</w:t>
      </w:r>
    </w:p>
    <w:p w14:paraId="67B4698A" w14:textId="5644B2A6" w:rsidR="002D7D1A" w:rsidRPr="002D7D1A" w:rsidRDefault="002D7D1A" w:rsidP="002D7D1A">
      <w:proofErr w:type="spellStart"/>
      <w:r>
        <w:t>Strandedness</w:t>
      </w:r>
      <w:proofErr w:type="spellEnd"/>
      <w:r>
        <w:t xml:space="preserve"> takes different forms. Some workers earn below a living wage despite years in the workforce. Others hold credentials and skills their current job simply doesn't require — a healthcare worker doing a job that doesn't need their training, or a college graduate in a role that a high schooler could fill. Others have been in the same occupational lane for so long that the normal expectation of career progression has quietly stopped applying to them. These situations are different in character, but they share a common feature: the worker is not where their potential should have taken them, and they likely need support if they are to get there.</w:t>
      </w:r>
    </w:p>
    <w:p w14:paraId="676D08EB" w14:textId="77777777" w:rsidR="002D7D1A" w:rsidRPr="002D7D1A" w:rsidRDefault="002D7D1A" w:rsidP="002D7D1A">
      <w:r>
        <w:t xml:space="preserve">The report moves in three parts. The first maps </w:t>
      </w:r>
      <w:proofErr w:type="spellStart"/>
      <w:r>
        <w:t>strandedness</w:t>
      </w:r>
      <w:proofErr w:type="spellEnd"/>
      <w:r>
        <w:t xml:space="preserve"> across the state — by type, by age group, by education level, by geography, and by sector — to show where the problem is most severe and how its character differs from place to place. The second identifies the career pathways that have demonstrably helped workers move out of stranded occupations into better ones, organized into seven practical archetypes. The third draws out what all of this means for Tennessee's workforce development system and where the most promising opportunities for intervention lie.</w:t>
      </w:r>
    </w:p>
    <w:p w14:paraId="4FF15C0D" w14:textId="77777777" w:rsidR="00496F61" w:rsidRDefault="00496F61" w:rsidP="00F33F20"/>
    <w:p w14:paraId="3DE0FF56" w14:textId="1638746E" w:rsidR="00496F61" w:rsidRDefault="00496F61" w:rsidP="00496F61">
      <w:pPr>
        <w:pStyle w:val="Heading2"/>
      </w:pPr>
      <w:r>
        <w:t>Executive Summary</w:t>
      </w:r>
    </w:p>
    <w:p w14:paraId="5B20AE75" w14:textId="28052D10" w:rsidR="002D7D1A" w:rsidRPr="002D7D1A" w:rsidRDefault="002D7D1A" w:rsidP="002D7D1A">
      <w:r>
        <w:t>One in four working Tennesseans is stranded — earning below a living wage, working in a job that underuses their qualifications, or both. That isn't a marginal problem. It represents hundreds of thousands of workers who are showing up, doing the work, and not getting ahead — and a significant drag on the productive potential of the state's economy.</w:t>
      </w:r>
    </w:p>
    <w:p w14:paraId="0FD1981F" w14:textId="5D32092A" w:rsidR="002D7D1A" w:rsidRPr="002D7D1A" w:rsidRDefault="002D7D1A" w:rsidP="002D7D1A">
      <w:r>
        <w:t xml:space="preserve">What makes this finding important is what's behind it. </w:t>
      </w:r>
      <w:proofErr w:type="spellStart"/>
      <w:r>
        <w:t>Strandedness</w:t>
      </w:r>
      <w:proofErr w:type="spellEnd"/>
      <w:r>
        <w:t xml:space="preserve"> in Tennessee is not primarily a story about workers who lack skills or commitment. It is, in large part, a story about mismatches: between the credentials workers hold and the jobs available to them; between the career progression infrastructure that exists in some parts of the </w:t>
      </w:r>
      <w:r>
        <w:lastRenderedPageBreak/>
        <w:t>state and the near-absence of it in others; and between sectors that are more or less likely to offer real pathways forward. The data makes clear that where you work and where you live shape your chances of getting ahead at least as much as how hard you work or how much education you have.</w:t>
      </w:r>
    </w:p>
    <w:p w14:paraId="76C59A07" w14:textId="58343FC8" w:rsidR="002D7D1A" w:rsidRPr="002D7D1A" w:rsidRDefault="002D7D1A" w:rsidP="75D8CDE6">
      <w:r>
        <w:t xml:space="preserve">The geography of </w:t>
      </w:r>
      <w:proofErr w:type="spellStart"/>
      <w:r>
        <w:t>strandedness</w:t>
      </w:r>
      <w:proofErr w:type="spellEnd"/>
      <w:r>
        <w:t xml:space="preserve"> is one of the most striking findings in the analysis. Nashville consistently performs better than the rest of the state. But the more important geographic story isn't Nashville versus everywhere else — it's the distinct challenges facing specific places. Memphis has a structural problem with returns to education: workers there with advanced degrees are far more likely to be in jobs beneath their qualification level than their counterparts in Nashville or Knoxville, pointing to a deficit in the kind of professional-level employer demand that makes credentials pay off. Rural Tennessee carries the heaviest low-wage burden in the state, and college-degree holders in rural areas face </w:t>
      </w:r>
      <w:proofErr w:type="spellStart"/>
      <w:r>
        <w:t>strandedness</w:t>
      </w:r>
      <w:proofErr w:type="spellEnd"/>
      <w:r>
        <w:t xml:space="preserve"> rates well above the urban average — not because they're overqualified, but because their local economies simply don't produce enough roles that match what they can do. Knoxville also faces elevated underemployment among degree-holders in its retail and utilities sectors, suggesting that its labor market underuses qualified workers in places where wage levels alone would not flag a problem. These findings are not the result of some ineffable quality some areas have and others do not — it is a function of the jobs they have on offer. Control for the education, experience and occupation mix of workers and geography explains just one percent of wage variance. </w:t>
      </w:r>
    </w:p>
    <w:p w14:paraId="15B2E44C" w14:textId="4FE1FEE4" w:rsidR="002D7D1A" w:rsidRPr="002D7D1A" w:rsidRDefault="002D7D1A" w:rsidP="002D7D1A">
      <w:r>
        <w:t>Education level matters, but not always in the ways you'd expect. Higher credentials do reduce the risk of earning poverty wages — that much holds across the board. But underemployment, the experience of being over-qualified for your job, actually peaks in the middle of the credential distribution. Workers with associate's degrees are more likely to be underemployed than workers with bachelor's degrees, master's degrees, or professional qualifications. This reflects a real structural problem in Tennessee's labor market: a two-year credential opens some doors, and some are unquestionably engines of upward mobility, but their impact varies widely and many rarely lead to stable, professional-tier careers.</w:t>
      </w:r>
    </w:p>
    <w:p w14:paraId="0AED04DD" w14:textId="77777777" w:rsidR="002D7D1A" w:rsidRPr="002D7D1A" w:rsidRDefault="002D7D1A" w:rsidP="002D7D1A">
      <w:r>
        <w:t xml:space="preserve">Sector tells a similarly important story. What industry you work in is one of the strongest predictors of whether you'll be stranded — often stronger than how much education you have. Accommodation and food services, administrative support, and retail are the most severely stranded sectors in the state, while utilities, finance, and professional services sit at the other end of the spectrum. These sector differences are amplified in specific geographies: hospitality workers in Knoxville, for example, face </w:t>
      </w:r>
      <w:proofErr w:type="spellStart"/>
      <w:r>
        <w:t>strandedness</w:t>
      </w:r>
      <w:proofErr w:type="spellEnd"/>
      <w:r>
        <w:t xml:space="preserve"> rates dramatically above the already-high national average for that sector.</w:t>
      </w:r>
    </w:p>
    <w:p w14:paraId="41E0502D" w14:textId="77777777" w:rsidR="002D7D1A" w:rsidRPr="002D7D1A" w:rsidRDefault="002D7D1A" w:rsidP="002D7D1A">
      <w:r>
        <w:t xml:space="preserve">The encouraging finding in this report is that the paths out of </w:t>
      </w:r>
      <w:proofErr w:type="spellStart"/>
      <w:r>
        <w:t>strandedness</w:t>
      </w:r>
      <w:proofErr w:type="spellEnd"/>
      <w:r>
        <w:t xml:space="preserve"> are real, identifiable, and in many cases more accessible than they might appear. The analysis </w:t>
      </w:r>
      <w:r>
        <w:lastRenderedPageBreak/>
        <w:t xml:space="preserve">identifies more than 1,700 occupation-to-occupation pathways — combining workforce flows that workers have actually been observed making with similar-task pairs the data identifies as plausible — and organises the most common patterns into seven pathway types. The three biggest — moves into project and operations management, technology roles, and professional and financial services — together account for nearly half of all identified pathways. The most impactful pathways in terms of reducing </w:t>
      </w:r>
      <w:proofErr w:type="spellStart"/>
      <w:r>
        <w:t>strandedness</w:t>
      </w:r>
      <w:proofErr w:type="spellEnd"/>
      <w:r>
        <w:t xml:space="preserve"> are often ones that draw from the most disadvantaged starting points: workers moving from food service or retail into sales and commercial roles, or from administrative and service backgrounds into business and financial occupations, see some of the largest gains. Healthcare remains a standout: workers who acquire clinical credentials and move up within the healthcare system see the largest average wage increases of any pathway type, and Tennessee already has the community college infrastructure to support those transitions at scale.</w:t>
      </w:r>
    </w:p>
    <w:p w14:paraId="5570A989" w14:textId="77777777" w:rsidR="002D7D1A" w:rsidRPr="002D7D1A" w:rsidRDefault="002D7D1A" w:rsidP="002D7D1A">
      <w:r>
        <w:t xml:space="preserve">The overall picture is one of a workforce that has more potential than the current system is capturing. The workers most affected by </w:t>
      </w:r>
      <w:proofErr w:type="spellStart"/>
      <w:r>
        <w:t>strandedness</w:t>
      </w:r>
      <w:proofErr w:type="spellEnd"/>
      <w:r>
        <w:t xml:space="preserve"> are not those with nothing to offer — they are workers the labor market has underinvested in. Addressing that will require targeted credential support, income stability during transitions, and a concerted effort to bring employers into the solution. This report is intended to provide the evidential foundation for that effort.</w:t>
      </w:r>
    </w:p>
    <w:p w14:paraId="3530FFD5" w14:textId="77777777" w:rsidR="00496F61" w:rsidRDefault="00496F61" w:rsidP="00F33F20"/>
    <w:p w14:paraId="319EAA44" w14:textId="2EF6B6F7" w:rsidR="00F33F20" w:rsidRDefault="00F33F20" w:rsidP="00496F61">
      <w:pPr>
        <w:pStyle w:val="Heading2"/>
      </w:pPr>
      <w:r>
        <w:t xml:space="preserve">Types of </w:t>
      </w:r>
      <w:proofErr w:type="spellStart"/>
      <w:r>
        <w:t>strandedness</w:t>
      </w:r>
      <w:proofErr w:type="spellEnd"/>
    </w:p>
    <w:p w14:paraId="7FD10777" w14:textId="77777777" w:rsidR="00D46DDA" w:rsidRPr="00AA6C39" w:rsidRDefault="00D46DDA" w:rsidP="00D46DDA">
      <w:r>
        <w:t xml:space="preserve">In collaboration with the Tennessee Department of Labor and Workforce Development and other stakeholders, we identified three types of </w:t>
      </w:r>
      <w:proofErr w:type="spellStart"/>
      <w:r>
        <w:t>strandedness</w:t>
      </w:r>
      <w:proofErr w:type="spellEnd"/>
      <w:r>
        <w:t>, defined as below. For simplicity and to avoid double-counting, these are mutually exclusive and work in a hierarchy. If an individual meets the definition of more than one type, they are allocated in order into low wage, then underemployed, and finally stalled.</w:t>
      </w:r>
    </w:p>
    <w:p w14:paraId="11185978" w14:textId="77777777" w:rsidR="00D46DDA" w:rsidRDefault="00D46DDA" w:rsidP="00D46DDA">
      <w:r w:rsidRPr="422BE760">
        <w:rPr>
          <w:b/>
          <w:bCs/>
        </w:rPr>
        <w:t>Low wage</w:t>
      </w:r>
      <w:r>
        <w:t>: Annual compensation falls short of the $30,493 threshold—representing two-thirds of the MIT Living Wage for a single adult in Tennessee. This disparity highlights a meaningful wage gap that fails to meet the basic cost-of-living requirements in the state.</w:t>
      </w:r>
    </w:p>
    <w:p w14:paraId="6E2D002C" w14:textId="77777777" w:rsidR="00D46DDA" w:rsidRDefault="00D46DDA" w:rsidP="00D46DDA">
      <w:r>
        <w:rPr>
          <w:b/>
          <w:bCs/>
        </w:rPr>
        <w:t>Underemployed</w:t>
      </w:r>
      <w:r>
        <w:t xml:space="preserve">: Annual compensation is greater than the low wage cutoff but still no more than the full MIT living wage of $45,739, and you have more education than the job typically requires (with stricter rules for people with only up to an associate’s degree than for people with a bachelor’s or higher). </w:t>
      </w:r>
    </w:p>
    <w:p w14:paraId="4F6C7EEF" w14:textId="77777777" w:rsidR="00D46DDA" w:rsidRDefault="00D46DDA" w:rsidP="00D46DDA">
      <w:pPr>
        <w:pStyle w:val="ListParagraph"/>
        <w:numPr>
          <w:ilvl w:val="0"/>
          <w:numId w:val="1"/>
        </w:numPr>
      </w:pPr>
      <w:r>
        <w:t xml:space="preserve">For workers whose education level falls at an Associate’s degree or below, the underemployment classification requires an education gap of at least two levels </w:t>
      </w:r>
      <w:r>
        <w:lastRenderedPageBreak/>
        <w:t xml:space="preserve">relative to the occupation’s typical education requirement (an AA holder working in an occupation that only requires a High School diploma or equivalent). </w:t>
      </w:r>
    </w:p>
    <w:p w14:paraId="104E86D8" w14:textId="77777777" w:rsidR="00D46DDA" w:rsidRDefault="00D46DDA" w:rsidP="00D46DDA">
      <w:pPr>
        <w:pStyle w:val="ListParagraph"/>
        <w:numPr>
          <w:ilvl w:val="0"/>
          <w:numId w:val="1"/>
        </w:numPr>
      </w:pPr>
      <w:r>
        <w:t>For workers with a bachelor’s degree or higher, a gap of one level suffices (a BA holder working in an occupation that only requires an AA, or a Master’s degree holder working in an occupation that only requires a BA).</w:t>
      </w:r>
    </w:p>
    <w:p w14:paraId="2F97D527" w14:textId="77777777" w:rsidR="00D46DDA" w:rsidRDefault="00D46DDA" w:rsidP="00D46DDA">
      <w:r>
        <w:rPr>
          <w:b/>
          <w:bCs/>
        </w:rPr>
        <w:t>Stalled:</w:t>
      </w:r>
      <w:r>
        <w:t xml:space="preserve"> Worker has been in the job for at least three years and earns no more than the MIT living wage of $45,739 with negative inflation-adjusted wage growth on average throughout their job spell. This pattern captures workers who have invested substantial time in a role without seeing their earnings keep pace with inflation, signalling career stagnation.</w:t>
      </w:r>
    </w:p>
    <w:p w14:paraId="6ED8F3FC" w14:textId="77777777" w:rsidR="00D46DDA" w:rsidRDefault="00D46DDA" w:rsidP="00D46DDA">
      <w:r>
        <w:t>We also measure exposure to AI, highlighting expected job losses in each occupation in line with the Burning Glass Institute’s modelling. The AI employment change projections are calculated by scoring individual work tasks within a knowledge graph for AI automation and augmentation potential, then feeding those scores into a demand model. This model adjusts for factors like adoption pace and demand elasticity to project how employer needs for specific occupations will shift over a five-year horizon.</w:t>
      </w:r>
    </w:p>
    <w:p w14:paraId="758BB415" w14:textId="77777777" w:rsidR="00F33F20" w:rsidRDefault="00F33F20" w:rsidP="00F33F20"/>
    <w:p w14:paraId="1C19C573" w14:textId="17F84A64" w:rsidR="00F33F20" w:rsidRDefault="00F33F20" w:rsidP="00496F61">
      <w:pPr>
        <w:pStyle w:val="Heading2"/>
      </w:pPr>
      <w:r>
        <w:t>Demographics</w:t>
      </w:r>
    </w:p>
    <w:p w14:paraId="58797D05" w14:textId="5A2A5168" w:rsidR="00F33F20" w:rsidRPr="00D46DDA" w:rsidRDefault="00D46DDA" w:rsidP="00704D16">
      <w:pPr>
        <w:pStyle w:val="Heading4"/>
      </w:pPr>
      <w:r>
        <w:t>Age</w:t>
      </w:r>
    </w:p>
    <w:p w14:paraId="2EEA89D7" w14:textId="3EFCBD03" w:rsidR="00B83D91" w:rsidRDefault="00B83D91" w:rsidP="00F33F20">
      <w:proofErr w:type="spellStart"/>
      <w:r>
        <w:t>Strandedness</w:t>
      </w:r>
      <w:proofErr w:type="spellEnd"/>
      <w:r>
        <w:t xml:space="preserve"> is most acute among younger workers: more than a quarter of Tennessee workers aged 25–34 </w:t>
      </w:r>
      <w:proofErr w:type="gramStart"/>
      <w:r>
        <w:t>are</w:t>
      </w:r>
      <w:proofErr w:type="gramEnd"/>
      <w:r>
        <w:t xml:space="preserve"> low-wage (25.4%), a rate that falls progressively in each successive age band before levelling off in the 55–64 cohort. Underemployment is also highest among the youngest workers and broadly stable across older age groups, suggesting that qualification mismatch is not primarily a mid-career phenomenon — younger workers are entering the labour market into roles that underutilise them, and many appear to remain there.</w:t>
      </w: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2000"/>
      </w:tblGrid>
      <w:tr w:rsidR="00D46DDA" w14:paraId="5577CC8C" w14:textId="77777777" w:rsidTr="006B7F92">
        <w:trPr>
          <w:tblHeader/>
        </w:trPr>
        <w:tc>
          <w:tcPr>
            <w:tcW w:w="2000" w:type="dxa"/>
            <w:tcBorders>
              <w:top w:val="single" w:sz="4" w:space="0" w:color="AAAAAA"/>
              <w:left w:val="single" w:sz="4" w:space="0" w:color="AAAAAA"/>
              <w:bottom w:val="single" w:sz="4" w:space="0" w:color="AAAAAA"/>
              <w:right w:val="single" w:sz="4" w:space="0" w:color="AAAAAA"/>
            </w:tcBorders>
            <w:shd w:val="clear" w:color="auto" w:fill="1F4E79"/>
            <w:tcMar>
              <w:top w:w="80" w:type="dxa"/>
              <w:left w:w="160" w:type="dxa"/>
              <w:bottom w:w="80" w:type="dxa"/>
              <w:right w:w="160" w:type="dxa"/>
            </w:tcMar>
          </w:tcPr>
          <w:p w14:paraId="193A0DF3" w14:textId="77777777" w:rsidR="00D46DDA" w:rsidRDefault="00D46DDA" w:rsidP="006B7F92">
            <w:r>
              <w:rPr>
                <w:rFonts w:ascii="Arial" w:eastAsia="Arial" w:hAnsi="Arial" w:cs="Arial"/>
                <w:b/>
                <w:bCs/>
                <w:color w:val="FFFFFF"/>
                <w:sz w:val="20"/>
                <w:szCs w:val="20"/>
              </w:rPr>
              <w:t>Age Group</w:t>
            </w:r>
          </w:p>
        </w:tc>
        <w:tc>
          <w:tcPr>
            <w:tcW w:w="2000" w:type="dxa"/>
            <w:tcBorders>
              <w:top w:val="single" w:sz="4" w:space="0" w:color="AAAAAA"/>
              <w:left w:val="single" w:sz="4" w:space="0" w:color="AAAAAA"/>
              <w:bottom w:val="single" w:sz="4" w:space="0" w:color="AAAAAA"/>
              <w:right w:val="single" w:sz="4" w:space="0" w:color="AAAAAA"/>
            </w:tcBorders>
            <w:shd w:val="clear" w:color="auto" w:fill="1F4E79"/>
            <w:tcMar>
              <w:top w:w="80" w:type="dxa"/>
              <w:left w:w="160" w:type="dxa"/>
              <w:bottom w:w="80" w:type="dxa"/>
              <w:right w:w="160" w:type="dxa"/>
            </w:tcMar>
          </w:tcPr>
          <w:p w14:paraId="6335F420" w14:textId="77777777" w:rsidR="00D46DDA" w:rsidRDefault="00D46DDA" w:rsidP="006B7F92">
            <w:r>
              <w:rPr>
                <w:rFonts w:ascii="Arial" w:eastAsia="Arial" w:hAnsi="Arial" w:cs="Arial"/>
                <w:b/>
                <w:bCs/>
                <w:color w:val="FFFFFF"/>
                <w:sz w:val="20"/>
                <w:szCs w:val="20"/>
              </w:rPr>
              <w:t>Low Wage %</w:t>
            </w:r>
          </w:p>
        </w:tc>
        <w:tc>
          <w:tcPr>
            <w:tcW w:w="2000" w:type="dxa"/>
            <w:tcBorders>
              <w:top w:val="single" w:sz="4" w:space="0" w:color="AAAAAA"/>
              <w:left w:val="single" w:sz="4" w:space="0" w:color="AAAAAA"/>
              <w:bottom w:val="single" w:sz="4" w:space="0" w:color="AAAAAA"/>
              <w:right w:val="single" w:sz="4" w:space="0" w:color="AAAAAA"/>
            </w:tcBorders>
            <w:shd w:val="clear" w:color="auto" w:fill="1F4E79"/>
            <w:tcMar>
              <w:top w:w="80" w:type="dxa"/>
              <w:left w:w="160" w:type="dxa"/>
              <w:bottom w:w="80" w:type="dxa"/>
              <w:right w:w="160" w:type="dxa"/>
            </w:tcMar>
          </w:tcPr>
          <w:p w14:paraId="27E34917" w14:textId="77777777" w:rsidR="00D46DDA" w:rsidRDefault="00D46DDA" w:rsidP="006B7F92">
            <w:r>
              <w:rPr>
                <w:rFonts w:ascii="Arial" w:eastAsia="Arial" w:hAnsi="Arial" w:cs="Arial"/>
                <w:b/>
                <w:bCs/>
                <w:color w:val="FFFFFF"/>
                <w:sz w:val="20"/>
                <w:szCs w:val="20"/>
              </w:rPr>
              <w:t>Underemployed %</w:t>
            </w:r>
          </w:p>
        </w:tc>
      </w:tr>
      <w:tr w:rsidR="00D46DDA" w14:paraId="709FED82" w14:textId="77777777" w:rsidTr="006B7F92">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60" w:type="dxa"/>
              <w:bottom w:w="60" w:type="dxa"/>
              <w:right w:w="160" w:type="dxa"/>
            </w:tcMar>
          </w:tcPr>
          <w:p w14:paraId="6FEF04DA" w14:textId="77777777" w:rsidR="00D46DDA" w:rsidRDefault="00D46DDA" w:rsidP="006B7F92">
            <w:r>
              <w:rPr>
                <w:rFonts w:ascii="Arial" w:eastAsia="Arial" w:hAnsi="Arial" w:cs="Arial"/>
                <w:sz w:val="20"/>
                <w:szCs w:val="20"/>
              </w:rPr>
              <w:t>25–34</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60" w:type="dxa"/>
              <w:bottom w:w="60" w:type="dxa"/>
              <w:right w:w="160" w:type="dxa"/>
            </w:tcMar>
          </w:tcPr>
          <w:p w14:paraId="3F9A11E9" w14:textId="77777777" w:rsidR="00D46DDA" w:rsidRDefault="00D46DDA" w:rsidP="006B7F92">
            <w:pPr>
              <w:jc w:val="right"/>
            </w:pPr>
            <w:r>
              <w:rPr>
                <w:rFonts w:ascii="Arial" w:eastAsia="Arial" w:hAnsi="Arial" w:cs="Arial"/>
                <w:sz w:val="20"/>
                <w:szCs w:val="20"/>
              </w:rPr>
              <w:t>25.4%</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60" w:type="dxa"/>
              <w:bottom w:w="60" w:type="dxa"/>
              <w:right w:w="160" w:type="dxa"/>
            </w:tcMar>
          </w:tcPr>
          <w:p w14:paraId="14ADF515" w14:textId="77777777" w:rsidR="00D46DDA" w:rsidRDefault="00D46DDA" w:rsidP="006B7F92">
            <w:pPr>
              <w:jc w:val="right"/>
            </w:pPr>
            <w:r>
              <w:rPr>
                <w:rFonts w:ascii="Arial" w:eastAsia="Arial" w:hAnsi="Arial" w:cs="Arial"/>
                <w:sz w:val="20"/>
                <w:szCs w:val="20"/>
              </w:rPr>
              <w:t>6.1%</w:t>
            </w:r>
          </w:p>
        </w:tc>
      </w:tr>
      <w:tr w:rsidR="00D46DDA" w14:paraId="5F768A33" w14:textId="77777777" w:rsidTr="006B7F92">
        <w:tc>
          <w:tcPr>
            <w:tcW w:w="20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60" w:type="dxa"/>
              <w:bottom w:w="60" w:type="dxa"/>
              <w:right w:w="160" w:type="dxa"/>
            </w:tcMar>
          </w:tcPr>
          <w:p w14:paraId="42678DFC" w14:textId="77777777" w:rsidR="00D46DDA" w:rsidRDefault="00D46DDA" w:rsidP="006B7F92">
            <w:r>
              <w:rPr>
                <w:rFonts w:ascii="Arial" w:eastAsia="Arial" w:hAnsi="Arial" w:cs="Arial"/>
                <w:sz w:val="20"/>
                <w:szCs w:val="20"/>
              </w:rPr>
              <w:t>35–44</w:t>
            </w:r>
          </w:p>
        </w:tc>
        <w:tc>
          <w:tcPr>
            <w:tcW w:w="20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60" w:type="dxa"/>
              <w:bottom w:w="60" w:type="dxa"/>
              <w:right w:w="160" w:type="dxa"/>
            </w:tcMar>
          </w:tcPr>
          <w:p w14:paraId="19BEDCD5" w14:textId="77777777" w:rsidR="00D46DDA" w:rsidRDefault="00D46DDA" w:rsidP="006B7F92">
            <w:pPr>
              <w:jc w:val="right"/>
            </w:pPr>
            <w:r>
              <w:rPr>
                <w:rFonts w:ascii="Arial" w:eastAsia="Arial" w:hAnsi="Arial" w:cs="Arial"/>
                <w:sz w:val="20"/>
                <w:szCs w:val="20"/>
              </w:rPr>
              <w:t>19.9%</w:t>
            </w:r>
          </w:p>
        </w:tc>
        <w:tc>
          <w:tcPr>
            <w:tcW w:w="20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60" w:type="dxa"/>
              <w:bottom w:w="60" w:type="dxa"/>
              <w:right w:w="160" w:type="dxa"/>
            </w:tcMar>
          </w:tcPr>
          <w:p w14:paraId="4A2A9A84" w14:textId="77777777" w:rsidR="00D46DDA" w:rsidRDefault="00D46DDA" w:rsidP="006B7F92">
            <w:pPr>
              <w:jc w:val="right"/>
            </w:pPr>
            <w:r>
              <w:rPr>
                <w:rFonts w:ascii="Arial" w:eastAsia="Arial" w:hAnsi="Arial" w:cs="Arial"/>
                <w:sz w:val="20"/>
                <w:szCs w:val="20"/>
              </w:rPr>
              <w:t>5.0%</w:t>
            </w:r>
          </w:p>
        </w:tc>
      </w:tr>
      <w:tr w:rsidR="00D46DDA" w14:paraId="5C0DF532" w14:textId="77777777" w:rsidTr="006B7F92">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60" w:type="dxa"/>
              <w:bottom w:w="60" w:type="dxa"/>
              <w:right w:w="160" w:type="dxa"/>
            </w:tcMar>
          </w:tcPr>
          <w:p w14:paraId="61A0B4F8" w14:textId="77777777" w:rsidR="00D46DDA" w:rsidRDefault="00D46DDA" w:rsidP="006B7F92">
            <w:r>
              <w:rPr>
                <w:rFonts w:ascii="Arial" w:eastAsia="Arial" w:hAnsi="Arial" w:cs="Arial"/>
                <w:sz w:val="20"/>
                <w:szCs w:val="20"/>
              </w:rPr>
              <w:t>45–54</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60" w:type="dxa"/>
              <w:bottom w:w="60" w:type="dxa"/>
              <w:right w:w="160" w:type="dxa"/>
            </w:tcMar>
          </w:tcPr>
          <w:p w14:paraId="6D4B8441" w14:textId="77777777" w:rsidR="00D46DDA" w:rsidRDefault="00D46DDA" w:rsidP="006B7F92">
            <w:pPr>
              <w:jc w:val="right"/>
            </w:pPr>
            <w:r>
              <w:rPr>
                <w:rFonts w:ascii="Arial" w:eastAsia="Arial" w:hAnsi="Arial" w:cs="Arial"/>
                <w:sz w:val="20"/>
                <w:szCs w:val="20"/>
              </w:rPr>
              <w:t>17.1%</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60" w:type="dxa"/>
              <w:bottom w:w="60" w:type="dxa"/>
              <w:right w:w="160" w:type="dxa"/>
            </w:tcMar>
          </w:tcPr>
          <w:p w14:paraId="051D9C9D" w14:textId="77777777" w:rsidR="00D46DDA" w:rsidRDefault="00D46DDA" w:rsidP="006B7F92">
            <w:pPr>
              <w:jc w:val="right"/>
            </w:pPr>
            <w:r>
              <w:rPr>
                <w:rFonts w:ascii="Arial" w:eastAsia="Arial" w:hAnsi="Arial" w:cs="Arial"/>
                <w:sz w:val="20"/>
                <w:szCs w:val="20"/>
              </w:rPr>
              <w:t>4.2%</w:t>
            </w:r>
          </w:p>
        </w:tc>
      </w:tr>
      <w:tr w:rsidR="00D46DDA" w14:paraId="4C7118F8" w14:textId="77777777" w:rsidTr="006B7F92">
        <w:tc>
          <w:tcPr>
            <w:tcW w:w="20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60" w:type="dxa"/>
              <w:bottom w:w="60" w:type="dxa"/>
              <w:right w:w="160" w:type="dxa"/>
            </w:tcMar>
          </w:tcPr>
          <w:p w14:paraId="1E8467EB" w14:textId="77777777" w:rsidR="00D46DDA" w:rsidRDefault="00D46DDA" w:rsidP="006B7F92">
            <w:r>
              <w:rPr>
                <w:rFonts w:ascii="Arial" w:eastAsia="Arial" w:hAnsi="Arial" w:cs="Arial"/>
                <w:sz w:val="20"/>
                <w:szCs w:val="20"/>
              </w:rPr>
              <w:t>55–64</w:t>
            </w:r>
          </w:p>
        </w:tc>
        <w:tc>
          <w:tcPr>
            <w:tcW w:w="20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60" w:type="dxa"/>
              <w:bottom w:w="60" w:type="dxa"/>
              <w:right w:w="160" w:type="dxa"/>
            </w:tcMar>
          </w:tcPr>
          <w:p w14:paraId="5893534C" w14:textId="77777777" w:rsidR="00D46DDA" w:rsidRDefault="00D46DDA" w:rsidP="006B7F92">
            <w:pPr>
              <w:jc w:val="right"/>
            </w:pPr>
            <w:r>
              <w:rPr>
                <w:rFonts w:ascii="Arial" w:eastAsia="Arial" w:hAnsi="Arial" w:cs="Arial"/>
                <w:sz w:val="20"/>
                <w:szCs w:val="20"/>
              </w:rPr>
              <w:t>18.0%</w:t>
            </w:r>
          </w:p>
        </w:tc>
        <w:tc>
          <w:tcPr>
            <w:tcW w:w="20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60" w:type="dxa"/>
              <w:bottom w:w="60" w:type="dxa"/>
              <w:right w:w="160" w:type="dxa"/>
            </w:tcMar>
          </w:tcPr>
          <w:p w14:paraId="26EF7BE7" w14:textId="77777777" w:rsidR="00D46DDA" w:rsidRDefault="00D46DDA" w:rsidP="006B7F92">
            <w:pPr>
              <w:jc w:val="right"/>
            </w:pPr>
            <w:r>
              <w:rPr>
                <w:rFonts w:ascii="Arial" w:eastAsia="Arial" w:hAnsi="Arial" w:cs="Arial"/>
                <w:sz w:val="20"/>
                <w:szCs w:val="20"/>
              </w:rPr>
              <w:t>5.4%</w:t>
            </w:r>
          </w:p>
        </w:tc>
      </w:tr>
    </w:tbl>
    <w:p w14:paraId="250DB088" w14:textId="77777777" w:rsidR="00D46DDA" w:rsidRDefault="00D46DDA" w:rsidP="00F33F20"/>
    <w:p w14:paraId="4DEC8484" w14:textId="33E684F0" w:rsidR="00F33F20" w:rsidRPr="00D46DDA" w:rsidRDefault="00D46DDA" w:rsidP="00704D16">
      <w:pPr>
        <w:pStyle w:val="Heading4"/>
      </w:pPr>
      <w:r>
        <w:lastRenderedPageBreak/>
        <w:t>Education</w:t>
      </w:r>
    </w:p>
    <w:p w14:paraId="384CCD17" w14:textId="43E167A2" w:rsidR="00B83D91" w:rsidRDefault="00B83D91" w:rsidP="00F33F20">
      <w:r>
        <w:t xml:space="preserve">The education table captures two structurally different problems that pull in opposite directions. Low-wage </w:t>
      </w:r>
      <w:proofErr w:type="spellStart"/>
      <w:r>
        <w:t>strandedness</w:t>
      </w:r>
      <w:proofErr w:type="spellEnd"/>
      <w:r>
        <w:t xml:space="preserve"> is concentrated at the bottom of the credential distribution: 42% of workers without a high school diploma and 28% of HS/GED holders earn below a living wage. Underemployment, by contrast, is concentrated in the middle: workers with associate's degrees have the highest underemployment rate in the table at 16.8%, nearly double the rate for bachelor's degree holders. This reflects the particular difficulty associate-credentialled workers face in accessing professional-tier roles — their qualification is real, but it is not always sufficient to clear the de facto credential threshold many Tennessee employers apply. Above bachelor's level, both measures decline, though underemployment among master's degree holders (8.1%) remains substantial.</w:t>
      </w: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000"/>
        <w:gridCol w:w="2000"/>
      </w:tblGrid>
      <w:tr w:rsidR="00D46DDA" w14:paraId="62CA9E87" w14:textId="77777777" w:rsidTr="006B7F92">
        <w:trPr>
          <w:tblHeader/>
        </w:trPr>
        <w:tc>
          <w:tcPr>
            <w:tcW w:w="3200" w:type="dxa"/>
            <w:tcBorders>
              <w:top w:val="single" w:sz="4" w:space="0" w:color="AAAAAA"/>
              <w:left w:val="single" w:sz="4" w:space="0" w:color="AAAAAA"/>
              <w:bottom w:val="single" w:sz="4" w:space="0" w:color="AAAAAA"/>
              <w:right w:val="single" w:sz="4" w:space="0" w:color="AAAAAA"/>
            </w:tcBorders>
            <w:shd w:val="clear" w:color="auto" w:fill="1F4E79"/>
            <w:tcMar>
              <w:top w:w="80" w:type="dxa"/>
              <w:left w:w="160" w:type="dxa"/>
              <w:bottom w:w="80" w:type="dxa"/>
              <w:right w:w="160" w:type="dxa"/>
            </w:tcMar>
          </w:tcPr>
          <w:p w14:paraId="2D86C47E" w14:textId="77777777" w:rsidR="00D46DDA" w:rsidRDefault="00D46DDA" w:rsidP="006B7F92">
            <w:r>
              <w:rPr>
                <w:rFonts w:ascii="Arial" w:eastAsia="Arial" w:hAnsi="Arial" w:cs="Arial"/>
                <w:b/>
                <w:bCs/>
                <w:color w:val="FFFFFF"/>
                <w:sz w:val="20"/>
                <w:szCs w:val="20"/>
              </w:rPr>
              <w:t>Education Level</w:t>
            </w:r>
          </w:p>
        </w:tc>
        <w:tc>
          <w:tcPr>
            <w:tcW w:w="2000" w:type="dxa"/>
            <w:tcBorders>
              <w:top w:val="single" w:sz="4" w:space="0" w:color="AAAAAA"/>
              <w:left w:val="single" w:sz="4" w:space="0" w:color="AAAAAA"/>
              <w:bottom w:val="single" w:sz="4" w:space="0" w:color="AAAAAA"/>
              <w:right w:val="single" w:sz="4" w:space="0" w:color="AAAAAA"/>
            </w:tcBorders>
            <w:shd w:val="clear" w:color="auto" w:fill="1F4E79"/>
            <w:tcMar>
              <w:top w:w="80" w:type="dxa"/>
              <w:left w:w="160" w:type="dxa"/>
              <w:bottom w:w="80" w:type="dxa"/>
              <w:right w:w="160" w:type="dxa"/>
            </w:tcMar>
          </w:tcPr>
          <w:p w14:paraId="262CF426" w14:textId="77777777" w:rsidR="00D46DDA" w:rsidRDefault="00D46DDA" w:rsidP="006B7F92">
            <w:r>
              <w:rPr>
                <w:rFonts w:ascii="Arial" w:eastAsia="Arial" w:hAnsi="Arial" w:cs="Arial"/>
                <w:b/>
                <w:bCs/>
                <w:color w:val="FFFFFF"/>
                <w:sz w:val="20"/>
                <w:szCs w:val="20"/>
              </w:rPr>
              <w:t>Low Wage %</w:t>
            </w:r>
          </w:p>
        </w:tc>
        <w:tc>
          <w:tcPr>
            <w:tcW w:w="2000" w:type="dxa"/>
            <w:tcBorders>
              <w:top w:val="single" w:sz="4" w:space="0" w:color="AAAAAA"/>
              <w:left w:val="single" w:sz="4" w:space="0" w:color="AAAAAA"/>
              <w:bottom w:val="single" w:sz="4" w:space="0" w:color="AAAAAA"/>
              <w:right w:val="single" w:sz="4" w:space="0" w:color="AAAAAA"/>
            </w:tcBorders>
            <w:shd w:val="clear" w:color="auto" w:fill="1F4E79"/>
            <w:tcMar>
              <w:top w:w="80" w:type="dxa"/>
              <w:left w:w="160" w:type="dxa"/>
              <w:bottom w:w="80" w:type="dxa"/>
              <w:right w:w="160" w:type="dxa"/>
            </w:tcMar>
          </w:tcPr>
          <w:p w14:paraId="259F13E2" w14:textId="77777777" w:rsidR="00D46DDA" w:rsidRDefault="00D46DDA" w:rsidP="006B7F92">
            <w:r>
              <w:rPr>
                <w:rFonts w:ascii="Arial" w:eastAsia="Arial" w:hAnsi="Arial" w:cs="Arial"/>
                <w:b/>
                <w:bCs/>
                <w:color w:val="FFFFFF"/>
                <w:sz w:val="20"/>
                <w:szCs w:val="20"/>
              </w:rPr>
              <w:t>Underemployed %</w:t>
            </w:r>
          </w:p>
        </w:tc>
      </w:tr>
      <w:tr w:rsidR="00D46DDA" w14:paraId="4F019CDE" w14:textId="77777777" w:rsidTr="006B7F92">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60" w:type="dxa"/>
              <w:bottom w:w="60" w:type="dxa"/>
              <w:right w:w="160" w:type="dxa"/>
            </w:tcMar>
          </w:tcPr>
          <w:p w14:paraId="123085F0" w14:textId="77777777" w:rsidR="00D46DDA" w:rsidRDefault="00D46DDA" w:rsidP="006B7F92">
            <w:r>
              <w:rPr>
                <w:rFonts w:ascii="Arial" w:eastAsia="Arial" w:hAnsi="Arial" w:cs="Arial"/>
                <w:sz w:val="20"/>
                <w:szCs w:val="20"/>
              </w:rPr>
              <w:t>Less than High School</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60" w:type="dxa"/>
              <w:bottom w:w="60" w:type="dxa"/>
              <w:right w:w="160" w:type="dxa"/>
            </w:tcMar>
          </w:tcPr>
          <w:p w14:paraId="6A8EFEBC" w14:textId="77777777" w:rsidR="00D46DDA" w:rsidRDefault="00D46DDA" w:rsidP="006B7F92">
            <w:pPr>
              <w:jc w:val="right"/>
            </w:pPr>
            <w:r>
              <w:rPr>
                <w:rFonts w:ascii="Arial" w:eastAsia="Arial" w:hAnsi="Arial" w:cs="Arial"/>
                <w:sz w:val="20"/>
                <w:szCs w:val="20"/>
              </w:rPr>
              <w:t>42.2%</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60" w:type="dxa"/>
              <w:bottom w:w="60" w:type="dxa"/>
              <w:right w:w="160" w:type="dxa"/>
            </w:tcMar>
          </w:tcPr>
          <w:p w14:paraId="0ACF5522" w14:textId="77777777" w:rsidR="00D46DDA" w:rsidRDefault="00D46DDA" w:rsidP="006B7F92">
            <w:pPr>
              <w:jc w:val="right"/>
            </w:pPr>
            <w:r>
              <w:rPr>
                <w:rFonts w:ascii="Arial" w:eastAsia="Arial" w:hAnsi="Arial" w:cs="Arial"/>
                <w:sz w:val="20"/>
                <w:szCs w:val="20"/>
              </w:rPr>
              <w:t>0.0%</w:t>
            </w:r>
          </w:p>
        </w:tc>
      </w:tr>
      <w:tr w:rsidR="00D46DDA" w14:paraId="2DE88242" w14:textId="77777777" w:rsidTr="006B7F92">
        <w:tc>
          <w:tcPr>
            <w:tcW w:w="32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60" w:type="dxa"/>
              <w:bottom w:w="60" w:type="dxa"/>
              <w:right w:w="160" w:type="dxa"/>
            </w:tcMar>
          </w:tcPr>
          <w:p w14:paraId="0BEBCE3D" w14:textId="77777777" w:rsidR="00D46DDA" w:rsidRDefault="00D46DDA" w:rsidP="006B7F92">
            <w:r>
              <w:rPr>
                <w:rFonts w:ascii="Arial" w:eastAsia="Arial" w:hAnsi="Arial" w:cs="Arial"/>
                <w:sz w:val="20"/>
                <w:szCs w:val="20"/>
              </w:rPr>
              <w:t>HS Diploma / GED</w:t>
            </w:r>
          </w:p>
        </w:tc>
        <w:tc>
          <w:tcPr>
            <w:tcW w:w="20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60" w:type="dxa"/>
              <w:bottom w:w="60" w:type="dxa"/>
              <w:right w:w="160" w:type="dxa"/>
            </w:tcMar>
          </w:tcPr>
          <w:p w14:paraId="7053A89D" w14:textId="77777777" w:rsidR="00D46DDA" w:rsidRDefault="00D46DDA" w:rsidP="006B7F92">
            <w:pPr>
              <w:jc w:val="right"/>
            </w:pPr>
            <w:r>
              <w:rPr>
                <w:rFonts w:ascii="Arial" w:eastAsia="Arial" w:hAnsi="Arial" w:cs="Arial"/>
                <w:sz w:val="20"/>
                <w:szCs w:val="20"/>
              </w:rPr>
              <w:t>27.7%</w:t>
            </w:r>
          </w:p>
        </w:tc>
        <w:tc>
          <w:tcPr>
            <w:tcW w:w="20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60" w:type="dxa"/>
              <w:bottom w:w="60" w:type="dxa"/>
              <w:right w:w="160" w:type="dxa"/>
            </w:tcMar>
          </w:tcPr>
          <w:p w14:paraId="5478808D" w14:textId="77777777" w:rsidR="00D46DDA" w:rsidRDefault="00D46DDA" w:rsidP="006B7F92">
            <w:pPr>
              <w:jc w:val="right"/>
            </w:pPr>
            <w:r>
              <w:rPr>
                <w:rFonts w:ascii="Arial" w:eastAsia="Arial" w:hAnsi="Arial" w:cs="Arial"/>
                <w:sz w:val="20"/>
                <w:szCs w:val="20"/>
              </w:rPr>
              <w:t>0.0%</w:t>
            </w:r>
          </w:p>
        </w:tc>
      </w:tr>
      <w:tr w:rsidR="00D46DDA" w14:paraId="0AF4FA30" w14:textId="77777777" w:rsidTr="006B7F92">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60" w:type="dxa"/>
              <w:bottom w:w="60" w:type="dxa"/>
              <w:right w:w="160" w:type="dxa"/>
            </w:tcMar>
          </w:tcPr>
          <w:p w14:paraId="4BD9DA12" w14:textId="77777777" w:rsidR="00D46DDA" w:rsidRDefault="00D46DDA" w:rsidP="006B7F92">
            <w:r>
              <w:rPr>
                <w:rFonts w:ascii="Arial" w:eastAsia="Arial" w:hAnsi="Arial" w:cs="Arial"/>
                <w:sz w:val="20"/>
                <w:szCs w:val="20"/>
              </w:rPr>
              <w:t>Some College (no degree)</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60" w:type="dxa"/>
              <w:bottom w:w="60" w:type="dxa"/>
              <w:right w:w="160" w:type="dxa"/>
            </w:tcMar>
          </w:tcPr>
          <w:p w14:paraId="7F8FB1F0" w14:textId="77777777" w:rsidR="00D46DDA" w:rsidRDefault="00D46DDA" w:rsidP="006B7F92">
            <w:pPr>
              <w:jc w:val="right"/>
            </w:pPr>
            <w:r>
              <w:rPr>
                <w:rFonts w:ascii="Arial" w:eastAsia="Arial" w:hAnsi="Arial" w:cs="Arial"/>
                <w:sz w:val="20"/>
                <w:szCs w:val="20"/>
              </w:rPr>
              <w:t>23.7%</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60" w:type="dxa"/>
              <w:bottom w:w="60" w:type="dxa"/>
              <w:right w:w="160" w:type="dxa"/>
            </w:tcMar>
          </w:tcPr>
          <w:p w14:paraId="46AA3661" w14:textId="77777777" w:rsidR="00D46DDA" w:rsidRDefault="00D46DDA" w:rsidP="006B7F92">
            <w:pPr>
              <w:jc w:val="right"/>
            </w:pPr>
            <w:r>
              <w:rPr>
                <w:rFonts w:ascii="Arial" w:eastAsia="Arial" w:hAnsi="Arial" w:cs="Arial"/>
                <w:sz w:val="20"/>
                <w:szCs w:val="20"/>
              </w:rPr>
              <w:t>2.1%</w:t>
            </w:r>
          </w:p>
        </w:tc>
      </w:tr>
      <w:tr w:rsidR="00D46DDA" w14:paraId="507EB5F3" w14:textId="77777777" w:rsidTr="006B7F92">
        <w:tc>
          <w:tcPr>
            <w:tcW w:w="32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60" w:type="dxa"/>
              <w:bottom w:w="60" w:type="dxa"/>
              <w:right w:w="160" w:type="dxa"/>
            </w:tcMar>
          </w:tcPr>
          <w:p w14:paraId="732EB9D5" w14:textId="77777777" w:rsidR="00D46DDA" w:rsidRDefault="00D46DDA" w:rsidP="006B7F92">
            <w:r>
              <w:rPr>
                <w:rFonts w:ascii="Arial" w:eastAsia="Arial" w:hAnsi="Arial" w:cs="Arial"/>
                <w:sz w:val="20"/>
                <w:szCs w:val="20"/>
              </w:rPr>
              <w:t>Associate's Degree</w:t>
            </w:r>
          </w:p>
        </w:tc>
        <w:tc>
          <w:tcPr>
            <w:tcW w:w="20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60" w:type="dxa"/>
              <w:bottom w:w="60" w:type="dxa"/>
              <w:right w:w="160" w:type="dxa"/>
            </w:tcMar>
          </w:tcPr>
          <w:p w14:paraId="629C1BA2" w14:textId="77777777" w:rsidR="00D46DDA" w:rsidRDefault="00D46DDA" w:rsidP="006B7F92">
            <w:pPr>
              <w:jc w:val="right"/>
            </w:pPr>
            <w:r>
              <w:rPr>
                <w:rFonts w:ascii="Arial" w:eastAsia="Arial" w:hAnsi="Arial" w:cs="Arial"/>
                <w:sz w:val="20"/>
                <w:szCs w:val="20"/>
              </w:rPr>
              <w:t>19.5%</w:t>
            </w:r>
          </w:p>
        </w:tc>
        <w:tc>
          <w:tcPr>
            <w:tcW w:w="20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60" w:type="dxa"/>
              <w:bottom w:w="60" w:type="dxa"/>
              <w:right w:w="160" w:type="dxa"/>
            </w:tcMar>
          </w:tcPr>
          <w:p w14:paraId="19DD0E6A" w14:textId="77777777" w:rsidR="00D46DDA" w:rsidRDefault="00D46DDA" w:rsidP="006B7F92">
            <w:pPr>
              <w:jc w:val="right"/>
            </w:pPr>
            <w:r>
              <w:rPr>
                <w:rFonts w:ascii="Arial" w:eastAsia="Arial" w:hAnsi="Arial" w:cs="Arial"/>
                <w:sz w:val="20"/>
                <w:szCs w:val="20"/>
              </w:rPr>
              <w:t>16.8%</w:t>
            </w:r>
          </w:p>
        </w:tc>
      </w:tr>
      <w:tr w:rsidR="00D46DDA" w14:paraId="5E00FF82" w14:textId="77777777" w:rsidTr="006B7F92">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60" w:type="dxa"/>
              <w:bottom w:w="60" w:type="dxa"/>
              <w:right w:w="160" w:type="dxa"/>
            </w:tcMar>
          </w:tcPr>
          <w:p w14:paraId="28170305" w14:textId="77777777" w:rsidR="00D46DDA" w:rsidRDefault="00D46DDA" w:rsidP="006B7F92">
            <w:r>
              <w:rPr>
                <w:rFonts w:ascii="Arial" w:eastAsia="Arial" w:hAnsi="Arial" w:cs="Arial"/>
                <w:sz w:val="20"/>
                <w:szCs w:val="20"/>
              </w:rPr>
              <w:t>Bachelor's Degree</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60" w:type="dxa"/>
              <w:bottom w:w="60" w:type="dxa"/>
              <w:right w:w="160" w:type="dxa"/>
            </w:tcMar>
          </w:tcPr>
          <w:p w14:paraId="15DBA532" w14:textId="77777777" w:rsidR="00D46DDA" w:rsidRDefault="00D46DDA" w:rsidP="006B7F92">
            <w:pPr>
              <w:jc w:val="right"/>
            </w:pPr>
            <w:r>
              <w:rPr>
                <w:rFonts w:ascii="Arial" w:eastAsia="Arial" w:hAnsi="Arial" w:cs="Arial"/>
                <w:sz w:val="20"/>
                <w:szCs w:val="20"/>
              </w:rPr>
              <w:t>11.9%</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60" w:type="dxa"/>
              <w:bottom w:w="60" w:type="dxa"/>
              <w:right w:w="160" w:type="dxa"/>
            </w:tcMar>
          </w:tcPr>
          <w:p w14:paraId="265D227E" w14:textId="77777777" w:rsidR="00D46DDA" w:rsidRDefault="00D46DDA" w:rsidP="006B7F92">
            <w:pPr>
              <w:jc w:val="right"/>
            </w:pPr>
            <w:r>
              <w:rPr>
                <w:rFonts w:ascii="Arial" w:eastAsia="Arial" w:hAnsi="Arial" w:cs="Arial"/>
                <w:sz w:val="20"/>
                <w:szCs w:val="20"/>
              </w:rPr>
              <w:t>9.9%</w:t>
            </w:r>
          </w:p>
        </w:tc>
      </w:tr>
      <w:tr w:rsidR="00D46DDA" w14:paraId="65B0F105" w14:textId="77777777" w:rsidTr="006B7F92">
        <w:tc>
          <w:tcPr>
            <w:tcW w:w="32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60" w:type="dxa"/>
              <w:bottom w:w="60" w:type="dxa"/>
              <w:right w:w="160" w:type="dxa"/>
            </w:tcMar>
          </w:tcPr>
          <w:p w14:paraId="6756FFDB" w14:textId="77777777" w:rsidR="00D46DDA" w:rsidRDefault="00D46DDA" w:rsidP="006B7F92">
            <w:r>
              <w:rPr>
                <w:rFonts w:ascii="Arial" w:eastAsia="Arial" w:hAnsi="Arial" w:cs="Arial"/>
                <w:sz w:val="20"/>
                <w:szCs w:val="20"/>
              </w:rPr>
              <w:t>Master's Degree</w:t>
            </w:r>
          </w:p>
        </w:tc>
        <w:tc>
          <w:tcPr>
            <w:tcW w:w="20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60" w:type="dxa"/>
              <w:bottom w:w="60" w:type="dxa"/>
              <w:right w:w="160" w:type="dxa"/>
            </w:tcMar>
          </w:tcPr>
          <w:p w14:paraId="0FA26867" w14:textId="77777777" w:rsidR="00D46DDA" w:rsidRDefault="00D46DDA" w:rsidP="006B7F92">
            <w:pPr>
              <w:jc w:val="right"/>
            </w:pPr>
            <w:r>
              <w:rPr>
                <w:rFonts w:ascii="Arial" w:eastAsia="Arial" w:hAnsi="Arial" w:cs="Arial"/>
                <w:sz w:val="20"/>
                <w:szCs w:val="20"/>
              </w:rPr>
              <w:t>7.2%</w:t>
            </w:r>
          </w:p>
        </w:tc>
        <w:tc>
          <w:tcPr>
            <w:tcW w:w="20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60" w:type="dxa"/>
              <w:bottom w:w="60" w:type="dxa"/>
              <w:right w:w="160" w:type="dxa"/>
            </w:tcMar>
          </w:tcPr>
          <w:p w14:paraId="648BE3D9" w14:textId="77777777" w:rsidR="00D46DDA" w:rsidRDefault="00D46DDA" w:rsidP="006B7F92">
            <w:pPr>
              <w:jc w:val="right"/>
            </w:pPr>
            <w:r>
              <w:rPr>
                <w:rFonts w:ascii="Arial" w:eastAsia="Arial" w:hAnsi="Arial" w:cs="Arial"/>
                <w:sz w:val="20"/>
                <w:szCs w:val="20"/>
              </w:rPr>
              <w:t>8.1%</w:t>
            </w:r>
          </w:p>
        </w:tc>
      </w:tr>
      <w:tr w:rsidR="00D46DDA" w14:paraId="6A7E05CD" w14:textId="77777777" w:rsidTr="006B7F92">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60" w:type="dxa"/>
              <w:bottom w:w="60" w:type="dxa"/>
              <w:right w:w="160" w:type="dxa"/>
            </w:tcMar>
          </w:tcPr>
          <w:p w14:paraId="501B29F4" w14:textId="77777777" w:rsidR="00D46DDA" w:rsidRDefault="00D46DDA" w:rsidP="006B7F92">
            <w:r>
              <w:rPr>
                <w:rFonts w:ascii="Arial" w:eastAsia="Arial" w:hAnsi="Arial" w:cs="Arial"/>
                <w:sz w:val="20"/>
                <w:szCs w:val="20"/>
              </w:rPr>
              <w:t>Professional / Doctorate</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60" w:type="dxa"/>
              <w:bottom w:w="60" w:type="dxa"/>
              <w:right w:w="160" w:type="dxa"/>
            </w:tcMar>
          </w:tcPr>
          <w:p w14:paraId="3D254703" w14:textId="77777777" w:rsidR="00D46DDA" w:rsidRDefault="00D46DDA" w:rsidP="006B7F92">
            <w:pPr>
              <w:jc w:val="right"/>
            </w:pPr>
            <w:r>
              <w:rPr>
                <w:rFonts w:ascii="Arial" w:eastAsia="Arial" w:hAnsi="Arial" w:cs="Arial"/>
                <w:sz w:val="20"/>
                <w:szCs w:val="20"/>
              </w:rPr>
              <w:t>6.7%</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60" w:type="dxa"/>
              <w:bottom w:w="60" w:type="dxa"/>
              <w:right w:w="160" w:type="dxa"/>
            </w:tcMar>
          </w:tcPr>
          <w:p w14:paraId="5A2221F8" w14:textId="77777777" w:rsidR="00D46DDA" w:rsidRDefault="00D46DDA" w:rsidP="006B7F92">
            <w:pPr>
              <w:jc w:val="right"/>
            </w:pPr>
            <w:r>
              <w:rPr>
                <w:rFonts w:ascii="Arial" w:eastAsia="Arial" w:hAnsi="Arial" w:cs="Arial"/>
                <w:sz w:val="20"/>
                <w:szCs w:val="20"/>
              </w:rPr>
              <w:t>3.3%</w:t>
            </w:r>
          </w:p>
        </w:tc>
      </w:tr>
    </w:tbl>
    <w:p w14:paraId="3243D8E4" w14:textId="77777777" w:rsidR="00A67470" w:rsidRDefault="00A67470" w:rsidP="00F33F20"/>
    <w:p w14:paraId="19CA94EC" w14:textId="4CDEC863" w:rsidR="00F33F20" w:rsidRDefault="00F33F20" w:rsidP="00496F61">
      <w:pPr>
        <w:pStyle w:val="Heading2"/>
      </w:pPr>
      <w:r>
        <w:t>Geographies</w:t>
      </w:r>
    </w:p>
    <w:p w14:paraId="58DCC842" w14:textId="77777777" w:rsidR="00B83D91" w:rsidRDefault="00B83D91" w:rsidP="00B83D91">
      <w:r>
        <w:t xml:space="preserve">Nashville consistently performs best across the low-wage and underemployment measures. The most marked divergence is in low-wage </w:t>
      </w:r>
      <w:proofErr w:type="spellStart"/>
      <w:r>
        <w:t>strandedness</w:t>
      </w:r>
      <w:proofErr w:type="spellEnd"/>
      <w:r>
        <w:t>, where Nashville (16.5%) is 5–8 percentage points below Memphis, Knoxville, and rural Tennessee. Career stalling rates, by contrast, fall in a narrow 3.2–3.8% band across all MSAs (note: the stalled measure cannot be broken out for rural Tennessee), so the geographic story is overwhelmingly one of wage levels and qualification mismatch rather than career progression per se.</w:t>
      </w:r>
    </w:p>
    <w:p w14:paraId="266702A2" w14:textId="77777777" w:rsidR="00B83D91" w:rsidRPr="00B83D91" w:rsidRDefault="00B83D91" w:rsidP="00B83D91"/>
    <w:tbl>
      <w:tblPr>
        <w:tblW w:w="79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7"/>
        <w:gridCol w:w="1791"/>
        <w:gridCol w:w="1790"/>
        <w:gridCol w:w="1832"/>
      </w:tblGrid>
      <w:tr w:rsidR="0052709C" w14:paraId="6F8807DE" w14:textId="77777777" w:rsidTr="006C151B">
        <w:trPr>
          <w:tblHeader/>
        </w:trPr>
        <w:tc>
          <w:tcPr>
            <w:tcW w:w="2520" w:type="dxa"/>
            <w:tcBorders>
              <w:top w:val="single" w:sz="4" w:space="0" w:color="AAAAAA"/>
              <w:left w:val="single" w:sz="4" w:space="0" w:color="AAAAAA"/>
              <w:bottom w:val="single" w:sz="4" w:space="0" w:color="AAAAAA"/>
              <w:right w:val="single" w:sz="4" w:space="0" w:color="AAAAAA"/>
            </w:tcBorders>
            <w:shd w:val="clear" w:color="auto" w:fill="1F4E79"/>
            <w:tcMar>
              <w:top w:w="80" w:type="dxa"/>
              <w:left w:w="160" w:type="dxa"/>
              <w:bottom w:w="80" w:type="dxa"/>
              <w:right w:w="160" w:type="dxa"/>
            </w:tcMar>
          </w:tcPr>
          <w:p w14:paraId="7CC35887" w14:textId="77777777" w:rsidR="00A67470" w:rsidRDefault="00A67470" w:rsidP="006C151B">
            <w:r>
              <w:rPr>
                <w:rFonts w:ascii="Arial" w:eastAsia="Arial" w:hAnsi="Arial" w:cs="Arial"/>
                <w:b/>
                <w:bCs/>
                <w:color w:val="FFFFFF"/>
                <w:sz w:val="20"/>
                <w:szCs w:val="20"/>
              </w:rPr>
              <w:lastRenderedPageBreak/>
              <w:t>MSA</w:t>
            </w:r>
          </w:p>
        </w:tc>
        <w:tc>
          <w:tcPr>
            <w:tcW w:w="1800" w:type="dxa"/>
            <w:tcBorders>
              <w:top w:val="single" w:sz="4" w:space="0" w:color="AAAAAA"/>
              <w:left w:val="single" w:sz="4" w:space="0" w:color="AAAAAA"/>
              <w:bottom w:val="single" w:sz="4" w:space="0" w:color="AAAAAA"/>
              <w:right w:val="single" w:sz="4" w:space="0" w:color="AAAAAA"/>
            </w:tcBorders>
            <w:shd w:val="clear" w:color="auto" w:fill="1F4E79"/>
            <w:tcMar>
              <w:top w:w="80" w:type="dxa"/>
              <w:left w:w="160" w:type="dxa"/>
              <w:bottom w:w="80" w:type="dxa"/>
              <w:right w:w="160" w:type="dxa"/>
            </w:tcMar>
          </w:tcPr>
          <w:p w14:paraId="6D282D79" w14:textId="77777777" w:rsidR="00A67470" w:rsidRDefault="00A67470" w:rsidP="006C151B">
            <w:r>
              <w:rPr>
                <w:rFonts w:ascii="Arial" w:eastAsia="Arial" w:hAnsi="Arial" w:cs="Arial"/>
                <w:b/>
                <w:bCs/>
                <w:color w:val="FFFFFF"/>
                <w:sz w:val="20"/>
                <w:szCs w:val="20"/>
              </w:rPr>
              <w:t>Stalled %</w:t>
            </w:r>
          </w:p>
        </w:tc>
        <w:tc>
          <w:tcPr>
            <w:tcW w:w="1800" w:type="dxa"/>
            <w:tcBorders>
              <w:top w:val="single" w:sz="4" w:space="0" w:color="AAAAAA"/>
              <w:left w:val="single" w:sz="4" w:space="0" w:color="AAAAAA"/>
              <w:bottom w:val="single" w:sz="4" w:space="0" w:color="AAAAAA"/>
              <w:right w:val="single" w:sz="4" w:space="0" w:color="AAAAAA"/>
            </w:tcBorders>
            <w:shd w:val="clear" w:color="auto" w:fill="1F4E79"/>
            <w:tcMar>
              <w:top w:w="80" w:type="dxa"/>
              <w:left w:w="160" w:type="dxa"/>
              <w:bottom w:w="80" w:type="dxa"/>
              <w:right w:w="160" w:type="dxa"/>
            </w:tcMar>
          </w:tcPr>
          <w:p w14:paraId="396573AB" w14:textId="77777777" w:rsidR="00A67470" w:rsidRDefault="00A67470" w:rsidP="006C151B">
            <w:r>
              <w:rPr>
                <w:rFonts w:ascii="Arial" w:eastAsia="Arial" w:hAnsi="Arial" w:cs="Arial"/>
                <w:b/>
                <w:bCs/>
                <w:color w:val="FFFFFF"/>
                <w:sz w:val="20"/>
                <w:szCs w:val="20"/>
              </w:rPr>
              <w:t>Low Wage %</w:t>
            </w:r>
          </w:p>
        </w:tc>
        <w:tc>
          <w:tcPr>
            <w:tcW w:w="1800" w:type="dxa"/>
            <w:tcBorders>
              <w:top w:val="single" w:sz="4" w:space="0" w:color="AAAAAA"/>
              <w:left w:val="single" w:sz="4" w:space="0" w:color="AAAAAA"/>
              <w:bottom w:val="single" w:sz="4" w:space="0" w:color="AAAAAA"/>
              <w:right w:val="single" w:sz="4" w:space="0" w:color="AAAAAA"/>
            </w:tcBorders>
            <w:shd w:val="clear" w:color="auto" w:fill="1F4E79"/>
            <w:tcMar>
              <w:top w:w="80" w:type="dxa"/>
              <w:left w:w="160" w:type="dxa"/>
              <w:bottom w:w="80" w:type="dxa"/>
              <w:right w:w="160" w:type="dxa"/>
            </w:tcMar>
          </w:tcPr>
          <w:p w14:paraId="04133294" w14:textId="77777777" w:rsidR="00A67470" w:rsidRDefault="00A67470" w:rsidP="006C151B">
            <w:r>
              <w:rPr>
                <w:rFonts w:ascii="Arial" w:eastAsia="Arial" w:hAnsi="Arial" w:cs="Arial"/>
                <w:b/>
                <w:bCs/>
                <w:color w:val="FFFFFF"/>
                <w:sz w:val="20"/>
                <w:szCs w:val="20"/>
              </w:rPr>
              <w:t>Underemployed %</w:t>
            </w:r>
          </w:p>
        </w:tc>
      </w:tr>
      <w:tr w:rsidR="0052709C" w14:paraId="320672D1" w14:textId="77777777" w:rsidTr="006C151B">
        <w:tc>
          <w:tcPr>
            <w:tcW w:w="252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60" w:type="dxa"/>
              <w:bottom w:w="60" w:type="dxa"/>
              <w:right w:w="160" w:type="dxa"/>
            </w:tcMar>
          </w:tcPr>
          <w:p w14:paraId="50A2C104" w14:textId="77777777" w:rsidR="00A67470" w:rsidRDefault="00A67470" w:rsidP="006C151B">
            <w:r>
              <w:rPr>
                <w:rFonts w:ascii="Arial" w:eastAsia="Arial" w:hAnsi="Arial" w:cs="Arial"/>
                <w:sz w:val="20"/>
                <w:szCs w:val="20"/>
              </w:rPr>
              <w:t>Nashville</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60" w:type="dxa"/>
              <w:bottom w:w="60" w:type="dxa"/>
              <w:right w:w="160" w:type="dxa"/>
            </w:tcMar>
          </w:tcPr>
          <w:p w14:paraId="0ED3898D" w14:textId="77777777" w:rsidR="00A67470" w:rsidRDefault="00A67470" w:rsidP="006C151B">
            <w:pPr>
              <w:jc w:val="right"/>
            </w:pPr>
            <w:r>
              <w:rPr>
                <w:rFonts w:ascii="Arial" w:eastAsia="Arial" w:hAnsi="Arial" w:cs="Arial"/>
                <w:sz w:val="20"/>
                <w:szCs w:val="20"/>
              </w:rPr>
              <w:t>3.3%</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60" w:type="dxa"/>
              <w:bottom w:w="60" w:type="dxa"/>
              <w:right w:w="160" w:type="dxa"/>
            </w:tcMar>
          </w:tcPr>
          <w:p w14:paraId="6450AA8E" w14:textId="77777777" w:rsidR="00A67470" w:rsidRDefault="00A67470" w:rsidP="006C151B">
            <w:pPr>
              <w:jc w:val="right"/>
            </w:pPr>
            <w:r>
              <w:rPr>
                <w:rFonts w:ascii="Arial" w:eastAsia="Arial" w:hAnsi="Arial" w:cs="Arial"/>
                <w:sz w:val="20"/>
                <w:szCs w:val="20"/>
              </w:rPr>
              <w:t>16.5%</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60" w:type="dxa"/>
              <w:bottom w:w="60" w:type="dxa"/>
              <w:right w:w="160" w:type="dxa"/>
            </w:tcMar>
          </w:tcPr>
          <w:p w14:paraId="05ABFC9B" w14:textId="77777777" w:rsidR="00A67470" w:rsidRDefault="00A67470" w:rsidP="006C151B">
            <w:pPr>
              <w:jc w:val="right"/>
            </w:pPr>
            <w:r>
              <w:rPr>
                <w:rFonts w:ascii="Arial" w:eastAsia="Arial" w:hAnsi="Arial" w:cs="Arial"/>
                <w:sz w:val="20"/>
                <w:szCs w:val="20"/>
              </w:rPr>
              <w:t>5.4%</w:t>
            </w:r>
          </w:p>
        </w:tc>
      </w:tr>
      <w:tr w:rsidR="0052709C" w14:paraId="714201EF" w14:textId="77777777" w:rsidTr="006C151B">
        <w:tc>
          <w:tcPr>
            <w:tcW w:w="252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60" w:type="dxa"/>
              <w:bottom w:w="60" w:type="dxa"/>
              <w:right w:w="160" w:type="dxa"/>
            </w:tcMar>
          </w:tcPr>
          <w:p w14:paraId="3C6F91B8" w14:textId="77777777" w:rsidR="00A67470" w:rsidRDefault="00A67470" w:rsidP="006C151B">
            <w:r>
              <w:rPr>
                <w:rFonts w:ascii="Arial" w:eastAsia="Arial" w:hAnsi="Arial" w:cs="Arial"/>
                <w:sz w:val="20"/>
                <w:szCs w:val="20"/>
              </w:rPr>
              <w:t>Rural TN</w:t>
            </w:r>
          </w:p>
        </w:tc>
        <w:tc>
          <w:tcPr>
            <w:tcW w:w="1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60" w:type="dxa"/>
              <w:bottom w:w="60" w:type="dxa"/>
              <w:right w:w="160" w:type="dxa"/>
            </w:tcMar>
          </w:tcPr>
          <w:p w14:paraId="1F3618DC" w14:textId="77777777" w:rsidR="00A67470" w:rsidRDefault="00A67470" w:rsidP="006C151B">
            <w:pPr>
              <w:jc w:val="right"/>
            </w:pPr>
            <w:r>
              <w:rPr>
                <w:rFonts w:ascii="Arial" w:eastAsia="Arial" w:hAnsi="Arial" w:cs="Arial"/>
                <w:sz w:val="20"/>
                <w:szCs w:val="20"/>
              </w:rPr>
              <w:t>0.0%</w:t>
            </w:r>
          </w:p>
        </w:tc>
        <w:tc>
          <w:tcPr>
            <w:tcW w:w="1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60" w:type="dxa"/>
              <w:bottom w:w="60" w:type="dxa"/>
              <w:right w:w="160" w:type="dxa"/>
            </w:tcMar>
          </w:tcPr>
          <w:p w14:paraId="796481AA" w14:textId="77777777" w:rsidR="00A67470" w:rsidRDefault="00A67470" w:rsidP="006C151B">
            <w:pPr>
              <w:jc w:val="right"/>
            </w:pPr>
            <w:r>
              <w:rPr>
                <w:rFonts w:ascii="Arial" w:eastAsia="Arial" w:hAnsi="Arial" w:cs="Arial"/>
                <w:sz w:val="20"/>
                <w:szCs w:val="20"/>
              </w:rPr>
              <w:t>24.9%</w:t>
            </w:r>
          </w:p>
        </w:tc>
        <w:tc>
          <w:tcPr>
            <w:tcW w:w="1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60" w:type="dxa"/>
              <w:bottom w:w="60" w:type="dxa"/>
              <w:right w:w="160" w:type="dxa"/>
            </w:tcMar>
          </w:tcPr>
          <w:p w14:paraId="1FCF5D7B" w14:textId="77777777" w:rsidR="00A67470" w:rsidRDefault="00A67470" w:rsidP="006C151B">
            <w:pPr>
              <w:jc w:val="right"/>
            </w:pPr>
            <w:r>
              <w:rPr>
                <w:rFonts w:ascii="Arial" w:eastAsia="Arial" w:hAnsi="Arial" w:cs="Arial"/>
                <w:sz w:val="20"/>
                <w:szCs w:val="20"/>
              </w:rPr>
              <w:t>4.4%</w:t>
            </w:r>
          </w:p>
        </w:tc>
      </w:tr>
      <w:tr w:rsidR="0052709C" w14:paraId="5EFAD9EC" w14:textId="77777777" w:rsidTr="006C151B">
        <w:tc>
          <w:tcPr>
            <w:tcW w:w="252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60" w:type="dxa"/>
              <w:bottom w:w="60" w:type="dxa"/>
              <w:right w:w="160" w:type="dxa"/>
            </w:tcMar>
          </w:tcPr>
          <w:p w14:paraId="0C512E41" w14:textId="77777777" w:rsidR="00A67470" w:rsidRDefault="00A67470" w:rsidP="006C151B">
            <w:r>
              <w:rPr>
                <w:rFonts w:ascii="Arial" w:eastAsia="Arial" w:hAnsi="Arial" w:cs="Arial"/>
                <w:sz w:val="20"/>
                <w:szCs w:val="20"/>
              </w:rPr>
              <w:t>Other MSA</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60" w:type="dxa"/>
              <w:bottom w:w="60" w:type="dxa"/>
              <w:right w:w="160" w:type="dxa"/>
            </w:tcMar>
          </w:tcPr>
          <w:p w14:paraId="216833FB" w14:textId="77777777" w:rsidR="00A67470" w:rsidRDefault="00A67470" w:rsidP="006C151B">
            <w:pPr>
              <w:jc w:val="right"/>
            </w:pPr>
            <w:r>
              <w:rPr>
                <w:rFonts w:ascii="Arial" w:eastAsia="Arial" w:hAnsi="Arial" w:cs="Arial"/>
                <w:sz w:val="20"/>
                <w:szCs w:val="20"/>
              </w:rPr>
              <w:t>3.8%</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60" w:type="dxa"/>
              <w:bottom w:w="60" w:type="dxa"/>
              <w:right w:w="160" w:type="dxa"/>
            </w:tcMar>
          </w:tcPr>
          <w:p w14:paraId="359ED8C9" w14:textId="77777777" w:rsidR="00A67470" w:rsidRDefault="00A67470" w:rsidP="006C151B">
            <w:pPr>
              <w:jc w:val="right"/>
            </w:pPr>
            <w:r>
              <w:rPr>
                <w:rFonts w:ascii="Arial" w:eastAsia="Arial" w:hAnsi="Arial" w:cs="Arial"/>
                <w:sz w:val="20"/>
                <w:szCs w:val="20"/>
              </w:rPr>
              <w:t>22.5%</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60" w:type="dxa"/>
              <w:bottom w:w="60" w:type="dxa"/>
              <w:right w:w="160" w:type="dxa"/>
            </w:tcMar>
          </w:tcPr>
          <w:p w14:paraId="29EF5E21" w14:textId="77777777" w:rsidR="00A67470" w:rsidRDefault="00A67470" w:rsidP="006C151B">
            <w:pPr>
              <w:jc w:val="right"/>
            </w:pPr>
            <w:r>
              <w:rPr>
                <w:rFonts w:ascii="Arial" w:eastAsia="Arial" w:hAnsi="Arial" w:cs="Arial"/>
                <w:sz w:val="20"/>
                <w:szCs w:val="20"/>
              </w:rPr>
              <w:t>5.5%</w:t>
            </w:r>
          </w:p>
        </w:tc>
      </w:tr>
      <w:tr w:rsidR="0052709C" w14:paraId="0FF0271E" w14:textId="77777777" w:rsidTr="006C151B">
        <w:tc>
          <w:tcPr>
            <w:tcW w:w="252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60" w:type="dxa"/>
              <w:bottom w:w="60" w:type="dxa"/>
              <w:right w:w="160" w:type="dxa"/>
            </w:tcMar>
          </w:tcPr>
          <w:p w14:paraId="58872CF1" w14:textId="77777777" w:rsidR="00A67470" w:rsidRDefault="00A67470" w:rsidP="006C151B">
            <w:r>
              <w:rPr>
                <w:rFonts w:ascii="Arial" w:eastAsia="Arial" w:hAnsi="Arial" w:cs="Arial"/>
                <w:sz w:val="20"/>
                <w:szCs w:val="20"/>
              </w:rPr>
              <w:t>Memphis</w:t>
            </w:r>
          </w:p>
        </w:tc>
        <w:tc>
          <w:tcPr>
            <w:tcW w:w="1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60" w:type="dxa"/>
              <w:bottom w:w="60" w:type="dxa"/>
              <w:right w:w="160" w:type="dxa"/>
            </w:tcMar>
          </w:tcPr>
          <w:p w14:paraId="54D3FD34" w14:textId="77777777" w:rsidR="00A67470" w:rsidRDefault="00A67470" w:rsidP="006C151B">
            <w:pPr>
              <w:jc w:val="right"/>
            </w:pPr>
            <w:r>
              <w:rPr>
                <w:rFonts w:ascii="Arial" w:eastAsia="Arial" w:hAnsi="Arial" w:cs="Arial"/>
                <w:sz w:val="20"/>
                <w:szCs w:val="20"/>
              </w:rPr>
              <w:t>3.2%</w:t>
            </w:r>
          </w:p>
        </w:tc>
        <w:tc>
          <w:tcPr>
            <w:tcW w:w="1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60" w:type="dxa"/>
              <w:bottom w:w="60" w:type="dxa"/>
              <w:right w:w="160" w:type="dxa"/>
            </w:tcMar>
          </w:tcPr>
          <w:p w14:paraId="63A5A40E" w14:textId="77777777" w:rsidR="00A67470" w:rsidRDefault="00A67470" w:rsidP="006C151B">
            <w:pPr>
              <w:jc w:val="right"/>
            </w:pPr>
            <w:r>
              <w:rPr>
                <w:rFonts w:ascii="Arial" w:eastAsia="Arial" w:hAnsi="Arial" w:cs="Arial"/>
                <w:sz w:val="20"/>
                <w:szCs w:val="20"/>
              </w:rPr>
              <w:t>21.5%</w:t>
            </w:r>
          </w:p>
        </w:tc>
        <w:tc>
          <w:tcPr>
            <w:tcW w:w="1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60" w:type="dxa"/>
              <w:bottom w:w="60" w:type="dxa"/>
              <w:right w:w="160" w:type="dxa"/>
            </w:tcMar>
          </w:tcPr>
          <w:p w14:paraId="6493AA10" w14:textId="77777777" w:rsidR="00A67470" w:rsidRDefault="00A67470" w:rsidP="006C151B">
            <w:pPr>
              <w:jc w:val="right"/>
            </w:pPr>
            <w:r>
              <w:rPr>
                <w:rFonts w:ascii="Arial" w:eastAsia="Arial" w:hAnsi="Arial" w:cs="Arial"/>
                <w:sz w:val="20"/>
                <w:szCs w:val="20"/>
              </w:rPr>
              <w:t>6.1%</w:t>
            </w:r>
          </w:p>
        </w:tc>
      </w:tr>
      <w:tr w:rsidR="0052709C" w14:paraId="4E00CDD4" w14:textId="77777777" w:rsidTr="006C151B">
        <w:tc>
          <w:tcPr>
            <w:tcW w:w="252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60" w:type="dxa"/>
              <w:bottom w:w="60" w:type="dxa"/>
              <w:right w:w="160" w:type="dxa"/>
            </w:tcMar>
          </w:tcPr>
          <w:p w14:paraId="0B1974AE" w14:textId="77777777" w:rsidR="00A67470" w:rsidRDefault="00A67470" w:rsidP="006C151B">
            <w:r>
              <w:rPr>
                <w:rFonts w:ascii="Arial" w:eastAsia="Arial" w:hAnsi="Arial" w:cs="Arial"/>
                <w:sz w:val="20"/>
                <w:szCs w:val="20"/>
              </w:rPr>
              <w:t>Knoxville</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60" w:type="dxa"/>
              <w:bottom w:w="60" w:type="dxa"/>
              <w:right w:w="160" w:type="dxa"/>
            </w:tcMar>
          </w:tcPr>
          <w:p w14:paraId="6A9DF553" w14:textId="77777777" w:rsidR="00A67470" w:rsidRDefault="00A67470" w:rsidP="006C151B">
            <w:pPr>
              <w:jc w:val="right"/>
            </w:pPr>
            <w:r>
              <w:rPr>
                <w:rFonts w:ascii="Arial" w:eastAsia="Arial" w:hAnsi="Arial" w:cs="Arial"/>
                <w:sz w:val="20"/>
                <w:szCs w:val="20"/>
              </w:rPr>
              <w:t>3.6%</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60" w:type="dxa"/>
              <w:bottom w:w="60" w:type="dxa"/>
              <w:right w:w="160" w:type="dxa"/>
            </w:tcMar>
          </w:tcPr>
          <w:p w14:paraId="48D9613F" w14:textId="77777777" w:rsidR="00A67470" w:rsidRDefault="00A67470" w:rsidP="006C151B">
            <w:pPr>
              <w:jc w:val="right"/>
            </w:pPr>
            <w:r>
              <w:rPr>
                <w:rFonts w:ascii="Arial" w:eastAsia="Arial" w:hAnsi="Arial" w:cs="Arial"/>
                <w:sz w:val="20"/>
                <w:szCs w:val="20"/>
              </w:rPr>
              <w:t>21.2%</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60" w:type="dxa"/>
              <w:bottom w:w="60" w:type="dxa"/>
              <w:right w:w="160" w:type="dxa"/>
            </w:tcMar>
          </w:tcPr>
          <w:p w14:paraId="56747D89" w14:textId="77777777" w:rsidR="00A67470" w:rsidRDefault="00A67470" w:rsidP="006C151B">
            <w:pPr>
              <w:jc w:val="right"/>
            </w:pPr>
            <w:r>
              <w:rPr>
                <w:rFonts w:ascii="Arial" w:eastAsia="Arial" w:hAnsi="Arial" w:cs="Arial"/>
                <w:sz w:val="20"/>
                <w:szCs w:val="20"/>
              </w:rPr>
              <w:t>5.5%</w:t>
            </w:r>
          </w:p>
        </w:tc>
      </w:tr>
      <w:tr w:rsidR="0052709C" w14:paraId="24175468" w14:textId="77777777" w:rsidTr="006C151B">
        <w:tc>
          <w:tcPr>
            <w:tcW w:w="252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60" w:type="dxa"/>
              <w:bottom w:w="60" w:type="dxa"/>
              <w:right w:w="160" w:type="dxa"/>
            </w:tcMar>
          </w:tcPr>
          <w:p w14:paraId="0FE52EC9" w14:textId="77777777" w:rsidR="00A67470" w:rsidRDefault="00A67470" w:rsidP="006C151B">
            <w:r>
              <w:rPr>
                <w:rFonts w:ascii="Arial" w:eastAsia="Arial" w:hAnsi="Arial" w:cs="Arial"/>
                <w:sz w:val="20"/>
                <w:szCs w:val="20"/>
              </w:rPr>
              <w:t>Chattanooga</w:t>
            </w:r>
          </w:p>
        </w:tc>
        <w:tc>
          <w:tcPr>
            <w:tcW w:w="1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60" w:type="dxa"/>
              <w:bottom w:w="60" w:type="dxa"/>
              <w:right w:w="160" w:type="dxa"/>
            </w:tcMar>
          </w:tcPr>
          <w:p w14:paraId="664096A8" w14:textId="77777777" w:rsidR="00A67470" w:rsidRDefault="00A67470" w:rsidP="006C151B">
            <w:pPr>
              <w:jc w:val="right"/>
            </w:pPr>
            <w:r>
              <w:rPr>
                <w:rFonts w:ascii="Arial" w:eastAsia="Arial" w:hAnsi="Arial" w:cs="Arial"/>
                <w:sz w:val="20"/>
                <w:szCs w:val="20"/>
              </w:rPr>
              <w:t>3.8%</w:t>
            </w:r>
          </w:p>
        </w:tc>
        <w:tc>
          <w:tcPr>
            <w:tcW w:w="1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60" w:type="dxa"/>
              <w:bottom w:w="60" w:type="dxa"/>
              <w:right w:w="160" w:type="dxa"/>
            </w:tcMar>
          </w:tcPr>
          <w:p w14:paraId="56E0895D" w14:textId="77777777" w:rsidR="00A67470" w:rsidRDefault="00A67470" w:rsidP="006C151B">
            <w:pPr>
              <w:jc w:val="right"/>
            </w:pPr>
            <w:r>
              <w:rPr>
                <w:rFonts w:ascii="Arial" w:eastAsia="Arial" w:hAnsi="Arial" w:cs="Arial"/>
                <w:sz w:val="20"/>
                <w:szCs w:val="20"/>
              </w:rPr>
              <w:t>18.3%</w:t>
            </w:r>
          </w:p>
        </w:tc>
        <w:tc>
          <w:tcPr>
            <w:tcW w:w="18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60" w:type="dxa"/>
              <w:bottom w:w="60" w:type="dxa"/>
              <w:right w:w="160" w:type="dxa"/>
            </w:tcMar>
          </w:tcPr>
          <w:p w14:paraId="7F02A8EC" w14:textId="77777777" w:rsidR="00A67470" w:rsidRDefault="00A67470" w:rsidP="006C151B">
            <w:pPr>
              <w:jc w:val="right"/>
            </w:pPr>
            <w:r>
              <w:rPr>
                <w:rFonts w:ascii="Arial" w:eastAsia="Arial" w:hAnsi="Arial" w:cs="Arial"/>
                <w:sz w:val="20"/>
                <w:szCs w:val="20"/>
              </w:rPr>
              <w:t>3.6%</w:t>
            </w:r>
          </w:p>
        </w:tc>
      </w:tr>
    </w:tbl>
    <w:p w14:paraId="006D5203" w14:textId="77777777" w:rsidR="00F33F20" w:rsidRDefault="00F33F20" w:rsidP="00F33F20"/>
    <w:p w14:paraId="18A0B6C0" w14:textId="24EE57B8" w:rsidR="00B83D91" w:rsidRPr="00704D16" w:rsidRDefault="00B83D91" w:rsidP="00704D16">
      <w:pPr>
        <w:pStyle w:val="Heading4"/>
      </w:pPr>
      <w:r>
        <w:t>Workers without high school diplomas in Chattanooga and rural TN</w:t>
      </w:r>
    </w:p>
    <w:p w14:paraId="27D38771" w14:textId="01878B13" w:rsidR="005B548C" w:rsidRDefault="00B83D91" w:rsidP="00B83D91">
      <w:r>
        <w:t xml:space="preserve">Workers without a high school diploma face particularly severe wage </w:t>
      </w:r>
      <w:proofErr w:type="spellStart"/>
      <w:r>
        <w:t>strandedness</w:t>
      </w:r>
      <w:proofErr w:type="spellEnd"/>
      <w:r>
        <w:t xml:space="preserve"> in Chattanooga and rural Tennessee. In both geographies, nearly half of sub-HS workers are low-wage stranded — 47.7% in Chattanooga and 48.7% in rural areas, compared to 36.7% in Nashville. This 11–12 percentage point gap reflects both a more limited supply of accessible entry-level progression pathways and, in rural areas, fewer large employers capable of offering structured wage advancement. Underemployment is definitionally zero at this qualification level, so the entire </w:t>
      </w:r>
      <w:proofErr w:type="spellStart"/>
      <w:r>
        <w:t>strandedness</w:t>
      </w:r>
      <w:proofErr w:type="spellEnd"/>
      <w:r>
        <w:t xml:space="preserve"> burden falls on the wage dimension.</w:t>
      </w:r>
    </w:p>
    <w:p w14:paraId="74E45086" w14:textId="43FEA739" w:rsidR="0055738D" w:rsidRPr="00704D16" w:rsidRDefault="0055738D" w:rsidP="00704D16">
      <w:pPr>
        <w:pStyle w:val="Heading4"/>
      </w:pPr>
      <w:r>
        <w:t>Degree holders in rural TN</w:t>
      </w:r>
    </w:p>
    <w:p w14:paraId="3921EE5C" w14:textId="403E3BB8" w:rsidR="00B83D91" w:rsidRDefault="00B83D91" w:rsidP="00B83D91">
      <w:r>
        <w:t xml:space="preserve">Having a degree does not provide the same protection against </w:t>
      </w:r>
      <w:proofErr w:type="spellStart"/>
      <w:r>
        <w:t>strandedness</w:t>
      </w:r>
      <w:proofErr w:type="spellEnd"/>
      <w:r>
        <w:t xml:space="preserve"> in rural Tennessee as it does in urban labour markets. More than a quarter (27.4%) of rural bachelor's degree holders are stranded overall — a rate 7 percentage points above Nashville — with both elevated low-wage </w:t>
      </w:r>
      <w:proofErr w:type="spellStart"/>
      <w:r>
        <w:t>strandedness</w:t>
      </w:r>
      <w:proofErr w:type="spellEnd"/>
      <w:r>
        <w:t xml:space="preserve"> (15.7%) and underemployment (11.6%) contributing. The implication is not credential oversupply but employer undersupply: rural areas lack sufficient professional-level roles to absorb the graduate-credentialled workforce that already lives there. Workers with master's degrees (13.9%) and professional/doctorate qualifications (13.1%) face lower but still notable rates, suggesting some insulation at the highest credential levels but persistent mismatch throughout the degree-holding population.</w:t>
      </w:r>
    </w:p>
    <w:p w14:paraId="1A2D7693" w14:textId="25B4BC98" w:rsidR="00B83D91" w:rsidRPr="00704D16" w:rsidRDefault="00B83D91" w:rsidP="00704D16">
      <w:pPr>
        <w:pStyle w:val="Heading4"/>
      </w:pPr>
      <w:r>
        <w:t>Master’s holders in Memphis</w:t>
      </w:r>
    </w:p>
    <w:p w14:paraId="66D8EA77" w14:textId="77087483" w:rsidR="00B83D91" w:rsidRDefault="00B83D91" w:rsidP="00B83D91">
      <w:r>
        <w:t xml:space="preserve">Master's degree holders in Memphis have more than double the underemployment rate of their Nashville counterparts: 13.4% versus 5.5%. This is the single largest intra-credential gap across all MSA comparisons in the data. Memphis's overall master's </w:t>
      </w:r>
      <w:proofErr w:type="spellStart"/>
      <w:r>
        <w:t>strandedness</w:t>
      </w:r>
      <w:proofErr w:type="spellEnd"/>
      <w:r>
        <w:t xml:space="preserve"> rate (21.0%) is also considerably above Knoxville (15.8%) and Nashville (12.0%). The pattern points to a structural demand deficit at the professional and </w:t>
      </w:r>
      <w:r>
        <w:lastRenderedPageBreak/>
        <w:t>managerial level in Memphis — the city produces or attracts graduate-credentialled workers but does not generate enough roles that require and reward those credentials.</w:t>
      </w:r>
    </w:p>
    <w:p w14:paraId="510A3BCF" w14:textId="77777777" w:rsidR="00B83D91" w:rsidRDefault="00B83D91" w:rsidP="00B83D91"/>
    <w:p w14:paraId="26381F48" w14:textId="44B12A92" w:rsidR="0055738D" w:rsidRPr="00704D16" w:rsidRDefault="00B83D91" w:rsidP="00704D16">
      <w:pPr>
        <w:pStyle w:val="Heading4"/>
      </w:pPr>
      <w:r>
        <w:t>Young people in Memphis</w:t>
      </w:r>
    </w:p>
    <w:p w14:paraId="60C36D64" w14:textId="139C2F36" w:rsidR="00A67470" w:rsidRDefault="00B83D91" w:rsidP="00F33F20">
      <w:r>
        <w:t xml:space="preserve">Young workers in Memphis face a notably more difficult labor market than their peers elsewhere in the state. More than a third (37.7%) of Memphis workers aged 25–34 </w:t>
      </w:r>
      <w:proofErr w:type="gramStart"/>
      <w:r>
        <w:t>are</w:t>
      </w:r>
      <w:proofErr w:type="gramEnd"/>
      <w:r>
        <w:t xml:space="preserve"> stranded overall, against 27.2% in Nashville and 26.5% in Chattanooga. The low-wage rate for this group (29.5%) is nearly 10 percentage points above Nashville (20.3%), pointing specifically to a shortage of well-paying entry- and early-career roles rather than underemployment alone. By the 35–44 age band, the Memphis rate drops sharply to 25.3%, suggesting some workers do progress — but the steepness of the initial disadvantage implies others leave the Memphis labor market or become entrenched in low-wage roles.</w:t>
      </w:r>
    </w:p>
    <w:p w14:paraId="78C66C4A" w14:textId="77777777" w:rsidR="008D1B09" w:rsidRDefault="008D1B09" w:rsidP="00F33F20"/>
    <w:p w14:paraId="7E068FFA" w14:textId="15C82DE8" w:rsidR="00F33F20" w:rsidRDefault="00F33F20" w:rsidP="00496F61">
      <w:pPr>
        <w:pStyle w:val="Heading2"/>
      </w:pPr>
      <w:r>
        <w:t>Occupations and sectors</w:t>
      </w:r>
    </w:p>
    <w:p w14:paraId="50162DBE" w14:textId="22847B51" w:rsidR="00B83D91" w:rsidRDefault="00B83D91" w:rsidP="00B83D91">
      <w:r>
        <w:t xml:space="preserve">Accommodation and food services is the most severely stranded sector at every level — more than half its workforce is low-wage (54.2%) and a further 12.0% are underemployed. Finance and insurance, professional/scientific/technical services, and utilities sit at the other extreme, with low-wage rates below 11% and modest underemployment rates. Career stalling rates, by contrast, fall in a narrow band across sectors (broadly 2–5%) and are less discriminating between sectors than the wage and underemployment dimensions. The wide dispersion in low-wage </w:t>
      </w:r>
      <w:proofErr w:type="spellStart"/>
      <w:r>
        <w:t>strandedness</w:t>
      </w:r>
      <w:proofErr w:type="spellEnd"/>
      <w:r>
        <w:t xml:space="preserve"> across sectors — from 5.4% in utilities to 54.2% in accommodation — means that sector of employment is one of the strongest predictors of </w:t>
      </w:r>
      <w:proofErr w:type="spellStart"/>
      <w:r>
        <w:t>strandedness</w:t>
      </w:r>
      <w:proofErr w:type="spellEnd"/>
      <w:r>
        <w:t xml:space="preserve"> in Tennessee, often outweighing individual education and age effects.</w:t>
      </w:r>
    </w:p>
    <w:p w14:paraId="7894E8FA" w14:textId="77777777" w:rsidR="00B83D91" w:rsidRPr="00B83D91" w:rsidRDefault="00B83D91" w:rsidP="00B83D91"/>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1680"/>
        <w:gridCol w:w="1680"/>
        <w:gridCol w:w="1680"/>
      </w:tblGrid>
      <w:tr w:rsidR="009157D7" w14:paraId="2D93A94A" w14:textId="77777777" w:rsidTr="006C151B">
        <w:trPr>
          <w:tblHeader/>
        </w:trPr>
        <w:tc>
          <w:tcPr>
            <w:tcW w:w="3600" w:type="dxa"/>
            <w:tcBorders>
              <w:top w:val="single" w:sz="4" w:space="0" w:color="BBBBBB"/>
              <w:left w:val="single" w:sz="4" w:space="0" w:color="BBBBBB"/>
              <w:bottom w:val="single" w:sz="4" w:space="0" w:color="BBBBBB"/>
              <w:right w:val="single" w:sz="4" w:space="0" w:color="BBBBBB"/>
            </w:tcBorders>
            <w:shd w:val="clear" w:color="auto" w:fill="1F4E79"/>
            <w:tcMar>
              <w:top w:w="80" w:type="dxa"/>
              <w:left w:w="120" w:type="dxa"/>
              <w:bottom w:w="80" w:type="dxa"/>
              <w:right w:w="120" w:type="dxa"/>
            </w:tcMar>
          </w:tcPr>
          <w:p w14:paraId="67199D1C" w14:textId="77777777" w:rsidR="009157D7" w:rsidRDefault="009157D7" w:rsidP="006C151B">
            <w:pPr>
              <w:jc w:val="center"/>
            </w:pPr>
            <w:r>
              <w:rPr>
                <w:rFonts w:ascii="Arial" w:eastAsia="Arial" w:hAnsi="Arial" w:cs="Arial"/>
                <w:b/>
                <w:bCs/>
                <w:color w:val="FFFFFF"/>
                <w:sz w:val="17"/>
                <w:szCs w:val="17"/>
              </w:rPr>
              <w:t>Sector</w:t>
            </w:r>
          </w:p>
        </w:tc>
        <w:tc>
          <w:tcPr>
            <w:tcW w:w="1680" w:type="dxa"/>
            <w:tcBorders>
              <w:top w:val="single" w:sz="4" w:space="0" w:color="BBBBBB"/>
              <w:left w:val="single" w:sz="4" w:space="0" w:color="BBBBBB"/>
              <w:bottom w:val="single" w:sz="4" w:space="0" w:color="BBBBBB"/>
              <w:right w:val="single" w:sz="4" w:space="0" w:color="BBBBBB"/>
            </w:tcBorders>
            <w:shd w:val="clear" w:color="auto" w:fill="1F4E79"/>
            <w:tcMar>
              <w:top w:w="80" w:type="dxa"/>
              <w:left w:w="120" w:type="dxa"/>
              <w:bottom w:w="80" w:type="dxa"/>
              <w:right w:w="120" w:type="dxa"/>
            </w:tcMar>
          </w:tcPr>
          <w:p w14:paraId="5CAD2B6A" w14:textId="77777777" w:rsidR="009157D7" w:rsidRDefault="009157D7" w:rsidP="006C151B">
            <w:pPr>
              <w:jc w:val="center"/>
            </w:pPr>
            <w:r>
              <w:rPr>
                <w:rFonts w:ascii="Arial" w:eastAsia="Arial" w:hAnsi="Arial" w:cs="Arial"/>
                <w:b/>
                <w:bCs/>
                <w:color w:val="FFFFFF"/>
                <w:sz w:val="17"/>
                <w:szCs w:val="17"/>
              </w:rPr>
              <w:t>Low Wage %</w:t>
            </w:r>
          </w:p>
        </w:tc>
        <w:tc>
          <w:tcPr>
            <w:tcW w:w="1680" w:type="dxa"/>
            <w:tcBorders>
              <w:top w:val="single" w:sz="4" w:space="0" w:color="BBBBBB"/>
              <w:left w:val="single" w:sz="4" w:space="0" w:color="BBBBBB"/>
              <w:bottom w:val="single" w:sz="4" w:space="0" w:color="BBBBBB"/>
              <w:right w:val="single" w:sz="4" w:space="0" w:color="BBBBBB"/>
            </w:tcBorders>
            <w:shd w:val="clear" w:color="auto" w:fill="1F4E79"/>
            <w:tcMar>
              <w:top w:w="80" w:type="dxa"/>
              <w:left w:w="120" w:type="dxa"/>
              <w:bottom w:w="80" w:type="dxa"/>
              <w:right w:w="120" w:type="dxa"/>
            </w:tcMar>
          </w:tcPr>
          <w:p w14:paraId="7A675F17" w14:textId="77777777" w:rsidR="009157D7" w:rsidRDefault="009157D7" w:rsidP="006C151B">
            <w:pPr>
              <w:jc w:val="center"/>
            </w:pPr>
            <w:r>
              <w:rPr>
                <w:rFonts w:ascii="Arial" w:eastAsia="Arial" w:hAnsi="Arial" w:cs="Arial"/>
                <w:b/>
                <w:bCs/>
                <w:color w:val="FFFFFF"/>
                <w:sz w:val="17"/>
                <w:szCs w:val="17"/>
              </w:rPr>
              <w:t>Underemployed %</w:t>
            </w:r>
          </w:p>
        </w:tc>
        <w:tc>
          <w:tcPr>
            <w:tcW w:w="1680" w:type="dxa"/>
            <w:tcBorders>
              <w:top w:val="single" w:sz="4" w:space="0" w:color="BBBBBB"/>
              <w:left w:val="single" w:sz="4" w:space="0" w:color="BBBBBB"/>
              <w:bottom w:val="single" w:sz="4" w:space="0" w:color="BBBBBB"/>
              <w:right w:val="single" w:sz="4" w:space="0" w:color="BBBBBB"/>
            </w:tcBorders>
            <w:shd w:val="clear" w:color="auto" w:fill="1F4E79"/>
            <w:tcMar>
              <w:top w:w="80" w:type="dxa"/>
              <w:left w:w="120" w:type="dxa"/>
              <w:bottom w:w="80" w:type="dxa"/>
              <w:right w:w="120" w:type="dxa"/>
            </w:tcMar>
          </w:tcPr>
          <w:p w14:paraId="6AB7F089" w14:textId="77777777" w:rsidR="009157D7" w:rsidRDefault="009157D7" w:rsidP="006C151B">
            <w:pPr>
              <w:jc w:val="center"/>
            </w:pPr>
            <w:r>
              <w:rPr>
                <w:rFonts w:ascii="Arial" w:eastAsia="Arial" w:hAnsi="Arial" w:cs="Arial"/>
                <w:b/>
                <w:bCs/>
                <w:color w:val="FFFFFF"/>
                <w:sz w:val="17"/>
                <w:szCs w:val="17"/>
              </w:rPr>
              <w:t>Stalled %</w:t>
            </w:r>
          </w:p>
        </w:tc>
      </w:tr>
      <w:tr w:rsidR="009157D7" w14:paraId="602AE8DC" w14:textId="77777777" w:rsidTr="006C151B">
        <w:tc>
          <w:tcPr>
            <w:tcW w:w="36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14:paraId="14D2367B" w14:textId="77777777" w:rsidR="009157D7" w:rsidRDefault="009157D7" w:rsidP="006C151B">
            <w:r>
              <w:rPr>
                <w:rFonts w:ascii="Arial" w:eastAsia="Arial" w:hAnsi="Arial" w:cs="Arial"/>
                <w:b/>
                <w:bCs/>
                <w:sz w:val="17"/>
                <w:szCs w:val="17"/>
              </w:rPr>
              <w:t>Accommodation &amp; Food Services</w:t>
            </w:r>
          </w:p>
        </w:tc>
        <w:tc>
          <w:tcPr>
            <w:tcW w:w="168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14:paraId="5F80C1CE" w14:textId="77777777" w:rsidR="009157D7" w:rsidRDefault="009157D7" w:rsidP="006C151B">
            <w:pPr>
              <w:jc w:val="right"/>
            </w:pPr>
            <w:r>
              <w:rPr>
                <w:rFonts w:ascii="Arial" w:eastAsia="Arial" w:hAnsi="Arial" w:cs="Arial"/>
                <w:color w:val="000000"/>
                <w:sz w:val="17"/>
                <w:szCs w:val="17"/>
              </w:rPr>
              <w:t>54.2%</w:t>
            </w:r>
          </w:p>
        </w:tc>
        <w:tc>
          <w:tcPr>
            <w:tcW w:w="168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14:paraId="6997F3B8" w14:textId="77777777" w:rsidR="009157D7" w:rsidRDefault="009157D7" w:rsidP="006C151B">
            <w:pPr>
              <w:jc w:val="right"/>
            </w:pPr>
            <w:r>
              <w:rPr>
                <w:rFonts w:ascii="Arial" w:eastAsia="Arial" w:hAnsi="Arial" w:cs="Arial"/>
                <w:color w:val="000000"/>
                <w:sz w:val="17"/>
                <w:szCs w:val="17"/>
              </w:rPr>
              <w:t>12.0%</w:t>
            </w:r>
          </w:p>
        </w:tc>
        <w:tc>
          <w:tcPr>
            <w:tcW w:w="168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14:paraId="056DCBAA" w14:textId="77777777" w:rsidR="009157D7" w:rsidRDefault="009157D7" w:rsidP="006C151B">
            <w:pPr>
              <w:jc w:val="right"/>
            </w:pPr>
            <w:r>
              <w:rPr>
                <w:rFonts w:ascii="Arial" w:eastAsia="Arial" w:hAnsi="Arial" w:cs="Arial"/>
                <w:color w:val="000000"/>
                <w:sz w:val="17"/>
                <w:szCs w:val="17"/>
              </w:rPr>
              <w:t>1.9%</w:t>
            </w:r>
          </w:p>
        </w:tc>
      </w:tr>
      <w:tr w:rsidR="009157D7" w14:paraId="7D62F5C2" w14:textId="77777777" w:rsidTr="006C151B">
        <w:tc>
          <w:tcPr>
            <w:tcW w:w="3600" w:type="dxa"/>
            <w:tcBorders>
              <w:top w:val="single" w:sz="4" w:space="0" w:color="BBBBBB"/>
              <w:left w:val="single" w:sz="4" w:space="0" w:color="BBBBBB"/>
              <w:bottom w:val="single" w:sz="4" w:space="0" w:color="BBBBBB"/>
              <w:right w:val="single" w:sz="4" w:space="0" w:color="BBBBBB"/>
            </w:tcBorders>
            <w:shd w:val="clear" w:color="auto" w:fill="F2F2F2"/>
            <w:tcMar>
              <w:top w:w="60" w:type="dxa"/>
              <w:left w:w="120" w:type="dxa"/>
              <w:bottom w:w="60" w:type="dxa"/>
              <w:right w:w="120" w:type="dxa"/>
            </w:tcMar>
          </w:tcPr>
          <w:p w14:paraId="69343149" w14:textId="77777777" w:rsidR="009157D7" w:rsidRDefault="009157D7" w:rsidP="006C151B">
            <w:r>
              <w:rPr>
                <w:rFonts w:ascii="Arial" w:eastAsia="Arial" w:hAnsi="Arial" w:cs="Arial"/>
                <w:b/>
                <w:bCs/>
                <w:sz w:val="17"/>
                <w:szCs w:val="17"/>
              </w:rPr>
              <w:t>Administrative &amp; Support Services</w:t>
            </w:r>
          </w:p>
        </w:tc>
        <w:tc>
          <w:tcPr>
            <w:tcW w:w="1680" w:type="dxa"/>
            <w:tcBorders>
              <w:top w:val="single" w:sz="4" w:space="0" w:color="BBBBBB"/>
              <w:left w:val="single" w:sz="4" w:space="0" w:color="BBBBBB"/>
              <w:bottom w:val="single" w:sz="4" w:space="0" w:color="BBBBBB"/>
              <w:right w:val="single" w:sz="4" w:space="0" w:color="BBBBBB"/>
            </w:tcBorders>
            <w:shd w:val="clear" w:color="auto" w:fill="F2F2F2"/>
            <w:tcMar>
              <w:top w:w="60" w:type="dxa"/>
              <w:left w:w="120" w:type="dxa"/>
              <w:bottom w:w="60" w:type="dxa"/>
              <w:right w:w="120" w:type="dxa"/>
            </w:tcMar>
          </w:tcPr>
          <w:p w14:paraId="1253B6E8" w14:textId="77777777" w:rsidR="009157D7" w:rsidRDefault="009157D7" w:rsidP="006C151B">
            <w:pPr>
              <w:jc w:val="right"/>
            </w:pPr>
            <w:r>
              <w:rPr>
                <w:rFonts w:ascii="Arial" w:eastAsia="Arial" w:hAnsi="Arial" w:cs="Arial"/>
                <w:color w:val="000000"/>
                <w:sz w:val="17"/>
                <w:szCs w:val="17"/>
              </w:rPr>
              <w:t>33.4%</w:t>
            </w:r>
          </w:p>
        </w:tc>
        <w:tc>
          <w:tcPr>
            <w:tcW w:w="1680" w:type="dxa"/>
            <w:tcBorders>
              <w:top w:val="single" w:sz="4" w:space="0" w:color="BBBBBB"/>
              <w:left w:val="single" w:sz="4" w:space="0" w:color="BBBBBB"/>
              <w:bottom w:val="single" w:sz="4" w:space="0" w:color="BBBBBB"/>
              <w:right w:val="single" w:sz="4" w:space="0" w:color="BBBBBB"/>
            </w:tcBorders>
            <w:shd w:val="clear" w:color="auto" w:fill="F2F2F2"/>
            <w:tcMar>
              <w:top w:w="60" w:type="dxa"/>
              <w:left w:w="120" w:type="dxa"/>
              <w:bottom w:w="60" w:type="dxa"/>
              <w:right w:w="120" w:type="dxa"/>
            </w:tcMar>
          </w:tcPr>
          <w:p w14:paraId="309C9FA6" w14:textId="77777777" w:rsidR="009157D7" w:rsidRDefault="009157D7" w:rsidP="006C151B">
            <w:pPr>
              <w:jc w:val="right"/>
            </w:pPr>
            <w:r>
              <w:rPr>
                <w:rFonts w:ascii="Arial" w:eastAsia="Arial" w:hAnsi="Arial" w:cs="Arial"/>
                <w:color w:val="000000"/>
                <w:sz w:val="17"/>
                <w:szCs w:val="17"/>
              </w:rPr>
              <w:t>7.9%</w:t>
            </w:r>
          </w:p>
        </w:tc>
        <w:tc>
          <w:tcPr>
            <w:tcW w:w="1680" w:type="dxa"/>
            <w:tcBorders>
              <w:top w:val="single" w:sz="4" w:space="0" w:color="BBBBBB"/>
              <w:left w:val="single" w:sz="4" w:space="0" w:color="BBBBBB"/>
              <w:bottom w:val="single" w:sz="4" w:space="0" w:color="BBBBBB"/>
              <w:right w:val="single" w:sz="4" w:space="0" w:color="BBBBBB"/>
            </w:tcBorders>
            <w:shd w:val="clear" w:color="auto" w:fill="F2F2F2"/>
            <w:tcMar>
              <w:top w:w="60" w:type="dxa"/>
              <w:left w:w="120" w:type="dxa"/>
              <w:bottom w:w="60" w:type="dxa"/>
              <w:right w:w="120" w:type="dxa"/>
            </w:tcMar>
          </w:tcPr>
          <w:p w14:paraId="03A57415" w14:textId="77777777" w:rsidR="009157D7" w:rsidRDefault="009157D7" w:rsidP="006C151B">
            <w:pPr>
              <w:jc w:val="right"/>
            </w:pPr>
            <w:r>
              <w:rPr>
                <w:rFonts w:ascii="Arial" w:eastAsia="Arial" w:hAnsi="Arial" w:cs="Arial"/>
                <w:color w:val="000000"/>
                <w:sz w:val="17"/>
                <w:szCs w:val="17"/>
              </w:rPr>
              <w:t>3.1%</w:t>
            </w:r>
          </w:p>
        </w:tc>
      </w:tr>
      <w:tr w:rsidR="009157D7" w14:paraId="50147E2B" w14:textId="77777777" w:rsidTr="006C151B">
        <w:tc>
          <w:tcPr>
            <w:tcW w:w="36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14:paraId="587B1327" w14:textId="77777777" w:rsidR="009157D7" w:rsidRDefault="009157D7" w:rsidP="006C151B">
            <w:r>
              <w:rPr>
                <w:rFonts w:ascii="Arial" w:eastAsia="Arial" w:hAnsi="Arial" w:cs="Arial"/>
                <w:b/>
                <w:bCs/>
                <w:sz w:val="17"/>
                <w:szCs w:val="17"/>
              </w:rPr>
              <w:t>Arts, Entertainment &amp; Recreation</w:t>
            </w:r>
          </w:p>
        </w:tc>
        <w:tc>
          <w:tcPr>
            <w:tcW w:w="168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14:paraId="049AACCB" w14:textId="77777777" w:rsidR="009157D7" w:rsidRDefault="009157D7" w:rsidP="006C151B">
            <w:pPr>
              <w:jc w:val="right"/>
            </w:pPr>
            <w:r>
              <w:rPr>
                <w:rFonts w:ascii="Arial" w:eastAsia="Arial" w:hAnsi="Arial" w:cs="Arial"/>
                <w:color w:val="000000"/>
                <w:sz w:val="17"/>
                <w:szCs w:val="17"/>
              </w:rPr>
              <w:t>27.9%</w:t>
            </w:r>
          </w:p>
        </w:tc>
        <w:tc>
          <w:tcPr>
            <w:tcW w:w="168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14:paraId="3CE39142" w14:textId="77777777" w:rsidR="009157D7" w:rsidRDefault="009157D7" w:rsidP="006C151B">
            <w:pPr>
              <w:jc w:val="right"/>
            </w:pPr>
            <w:r>
              <w:rPr>
                <w:rFonts w:ascii="Arial" w:eastAsia="Arial" w:hAnsi="Arial" w:cs="Arial"/>
                <w:color w:val="000000"/>
                <w:sz w:val="17"/>
                <w:szCs w:val="17"/>
              </w:rPr>
              <w:t>10.5%</w:t>
            </w:r>
          </w:p>
        </w:tc>
        <w:tc>
          <w:tcPr>
            <w:tcW w:w="168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14:paraId="01485C95" w14:textId="77777777" w:rsidR="009157D7" w:rsidRDefault="009157D7" w:rsidP="006C151B">
            <w:pPr>
              <w:jc w:val="right"/>
            </w:pPr>
            <w:r>
              <w:rPr>
                <w:rFonts w:ascii="Arial" w:eastAsia="Arial" w:hAnsi="Arial" w:cs="Arial"/>
                <w:color w:val="000000"/>
                <w:sz w:val="17"/>
                <w:szCs w:val="17"/>
              </w:rPr>
              <w:t>3.5%</w:t>
            </w:r>
          </w:p>
        </w:tc>
      </w:tr>
      <w:tr w:rsidR="009157D7" w14:paraId="4C799855" w14:textId="77777777" w:rsidTr="006C151B">
        <w:tc>
          <w:tcPr>
            <w:tcW w:w="3600" w:type="dxa"/>
            <w:tcBorders>
              <w:top w:val="single" w:sz="4" w:space="0" w:color="BBBBBB"/>
              <w:left w:val="single" w:sz="4" w:space="0" w:color="BBBBBB"/>
              <w:bottom w:val="single" w:sz="4" w:space="0" w:color="BBBBBB"/>
              <w:right w:val="single" w:sz="4" w:space="0" w:color="BBBBBB"/>
            </w:tcBorders>
            <w:shd w:val="clear" w:color="auto" w:fill="F2F2F2"/>
            <w:tcMar>
              <w:top w:w="60" w:type="dxa"/>
              <w:left w:w="120" w:type="dxa"/>
              <w:bottom w:w="60" w:type="dxa"/>
              <w:right w:w="120" w:type="dxa"/>
            </w:tcMar>
          </w:tcPr>
          <w:p w14:paraId="3D3920BF" w14:textId="77777777" w:rsidR="009157D7" w:rsidRDefault="009157D7" w:rsidP="006C151B">
            <w:r>
              <w:rPr>
                <w:rFonts w:ascii="Arial" w:eastAsia="Arial" w:hAnsi="Arial" w:cs="Arial"/>
                <w:b/>
                <w:bCs/>
                <w:sz w:val="17"/>
                <w:szCs w:val="17"/>
              </w:rPr>
              <w:t>Construction</w:t>
            </w:r>
          </w:p>
        </w:tc>
        <w:tc>
          <w:tcPr>
            <w:tcW w:w="1680" w:type="dxa"/>
            <w:tcBorders>
              <w:top w:val="single" w:sz="4" w:space="0" w:color="BBBBBB"/>
              <w:left w:val="single" w:sz="4" w:space="0" w:color="BBBBBB"/>
              <w:bottom w:val="single" w:sz="4" w:space="0" w:color="BBBBBB"/>
              <w:right w:val="single" w:sz="4" w:space="0" w:color="BBBBBB"/>
            </w:tcBorders>
            <w:shd w:val="clear" w:color="auto" w:fill="F2F2F2"/>
            <w:tcMar>
              <w:top w:w="60" w:type="dxa"/>
              <w:left w:w="120" w:type="dxa"/>
              <w:bottom w:w="60" w:type="dxa"/>
              <w:right w:w="120" w:type="dxa"/>
            </w:tcMar>
          </w:tcPr>
          <w:p w14:paraId="53AA1E9F" w14:textId="77777777" w:rsidR="009157D7" w:rsidRDefault="009157D7" w:rsidP="006C151B">
            <w:pPr>
              <w:jc w:val="right"/>
            </w:pPr>
            <w:r>
              <w:rPr>
                <w:rFonts w:ascii="Arial" w:eastAsia="Arial" w:hAnsi="Arial" w:cs="Arial"/>
                <w:color w:val="000000"/>
                <w:sz w:val="17"/>
                <w:szCs w:val="17"/>
              </w:rPr>
              <w:t>20.8%</w:t>
            </w:r>
          </w:p>
        </w:tc>
        <w:tc>
          <w:tcPr>
            <w:tcW w:w="1680" w:type="dxa"/>
            <w:tcBorders>
              <w:top w:val="single" w:sz="4" w:space="0" w:color="BBBBBB"/>
              <w:left w:val="single" w:sz="4" w:space="0" w:color="BBBBBB"/>
              <w:bottom w:val="single" w:sz="4" w:space="0" w:color="BBBBBB"/>
              <w:right w:val="single" w:sz="4" w:space="0" w:color="BBBBBB"/>
            </w:tcBorders>
            <w:shd w:val="clear" w:color="auto" w:fill="F2F2F2"/>
            <w:tcMar>
              <w:top w:w="60" w:type="dxa"/>
              <w:left w:w="120" w:type="dxa"/>
              <w:bottom w:w="60" w:type="dxa"/>
              <w:right w:w="120" w:type="dxa"/>
            </w:tcMar>
          </w:tcPr>
          <w:p w14:paraId="40658E6E" w14:textId="77777777" w:rsidR="009157D7" w:rsidRDefault="009157D7" w:rsidP="006C151B">
            <w:pPr>
              <w:jc w:val="right"/>
            </w:pPr>
            <w:r>
              <w:rPr>
                <w:rFonts w:ascii="Arial" w:eastAsia="Arial" w:hAnsi="Arial" w:cs="Arial"/>
                <w:color w:val="000000"/>
                <w:sz w:val="17"/>
                <w:szCs w:val="17"/>
              </w:rPr>
              <w:t>5.0%</w:t>
            </w:r>
          </w:p>
        </w:tc>
        <w:tc>
          <w:tcPr>
            <w:tcW w:w="1680" w:type="dxa"/>
            <w:tcBorders>
              <w:top w:val="single" w:sz="4" w:space="0" w:color="BBBBBB"/>
              <w:left w:val="single" w:sz="4" w:space="0" w:color="BBBBBB"/>
              <w:bottom w:val="single" w:sz="4" w:space="0" w:color="BBBBBB"/>
              <w:right w:val="single" w:sz="4" w:space="0" w:color="BBBBBB"/>
            </w:tcBorders>
            <w:shd w:val="clear" w:color="auto" w:fill="F2F2F2"/>
            <w:tcMar>
              <w:top w:w="60" w:type="dxa"/>
              <w:left w:w="120" w:type="dxa"/>
              <w:bottom w:w="60" w:type="dxa"/>
              <w:right w:w="120" w:type="dxa"/>
            </w:tcMar>
          </w:tcPr>
          <w:p w14:paraId="1315F58B" w14:textId="77777777" w:rsidR="009157D7" w:rsidRDefault="009157D7" w:rsidP="006C151B">
            <w:pPr>
              <w:jc w:val="right"/>
            </w:pPr>
            <w:r>
              <w:rPr>
                <w:rFonts w:ascii="Arial" w:eastAsia="Arial" w:hAnsi="Arial" w:cs="Arial"/>
                <w:color w:val="000000"/>
                <w:sz w:val="17"/>
                <w:szCs w:val="17"/>
              </w:rPr>
              <w:t>4.5%</w:t>
            </w:r>
          </w:p>
        </w:tc>
      </w:tr>
      <w:tr w:rsidR="009157D7" w14:paraId="1327E713" w14:textId="77777777" w:rsidTr="006C151B">
        <w:tc>
          <w:tcPr>
            <w:tcW w:w="36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14:paraId="6FD5CF9D" w14:textId="77777777" w:rsidR="009157D7" w:rsidRDefault="009157D7" w:rsidP="006C151B">
            <w:r>
              <w:rPr>
                <w:rFonts w:ascii="Arial" w:eastAsia="Arial" w:hAnsi="Arial" w:cs="Arial"/>
                <w:b/>
                <w:bCs/>
                <w:sz w:val="17"/>
                <w:szCs w:val="17"/>
              </w:rPr>
              <w:t>Educational Services</w:t>
            </w:r>
          </w:p>
        </w:tc>
        <w:tc>
          <w:tcPr>
            <w:tcW w:w="168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14:paraId="788AB8F6" w14:textId="77777777" w:rsidR="009157D7" w:rsidRDefault="009157D7" w:rsidP="006C151B">
            <w:pPr>
              <w:jc w:val="right"/>
            </w:pPr>
            <w:r>
              <w:rPr>
                <w:rFonts w:ascii="Arial" w:eastAsia="Arial" w:hAnsi="Arial" w:cs="Arial"/>
                <w:color w:val="000000"/>
                <w:sz w:val="17"/>
                <w:szCs w:val="17"/>
              </w:rPr>
              <w:t>21.9%</w:t>
            </w:r>
          </w:p>
        </w:tc>
        <w:tc>
          <w:tcPr>
            <w:tcW w:w="168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14:paraId="7CE6AA2D" w14:textId="77777777" w:rsidR="009157D7" w:rsidRDefault="009157D7" w:rsidP="006C151B">
            <w:pPr>
              <w:jc w:val="right"/>
            </w:pPr>
            <w:r>
              <w:rPr>
                <w:rFonts w:ascii="Arial" w:eastAsia="Arial" w:hAnsi="Arial" w:cs="Arial"/>
                <w:color w:val="000000"/>
                <w:sz w:val="17"/>
                <w:szCs w:val="17"/>
              </w:rPr>
              <w:t>2.7%</w:t>
            </w:r>
          </w:p>
        </w:tc>
        <w:tc>
          <w:tcPr>
            <w:tcW w:w="168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14:paraId="381B8772" w14:textId="77777777" w:rsidR="009157D7" w:rsidRDefault="009157D7" w:rsidP="006C151B">
            <w:pPr>
              <w:jc w:val="right"/>
            </w:pPr>
            <w:r>
              <w:rPr>
                <w:rFonts w:ascii="Arial" w:eastAsia="Arial" w:hAnsi="Arial" w:cs="Arial"/>
                <w:color w:val="000000"/>
                <w:sz w:val="17"/>
                <w:szCs w:val="17"/>
              </w:rPr>
              <w:t>3.6%</w:t>
            </w:r>
          </w:p>
        </w:tc>
      </w:tr>
      <w:tr w:rsidR="009157D7" w14:paraId="1657E106" w14:textId="77777777" w:rsidTr="006C151B">
        <w:tc>
          <w:tcPr>
            <w:tcW w:w="3600" w:type="dxa"/>
            <w:tcBorders>
              <w:top w:val="single" w:sz="4" w:space="0" w:color="BBBBBB"/>
              <w:left w:val="single" w:sz="4" w:space="0" w:color="BBBBBB"/>
              <w:bottom w:val="single" w:sz="4" w:space="0" w:color="BBBBBB"/>
              <w:right w:val="single" w:sz="4" w:space="0" w:color="BBBBBB"/>
            </w:tcBorders>
            <w:shd w:val="clear" w:color="auto" w:fill="F2F2F2"/>
            <w:tcMar>
              <w:top w:w="60" w:type="dxa"/>
              <w:left w:w="120" w:type="dxa"/>
              <w:bottom w:w="60" w:type="dxa"/>
              <w:right w:w="120" w:type="dxa"/>
            </w:tcMar>
          </w:tcPr>
          <w:p w14:paraId="7CD88264" w14:textId="77777777" w:rsidR="009157D7" w:rsidRDefault="009157D7" w:rsidP="006C151B">
            <w:r>
              <w:rPr>
                <w:rFonts w:ascii="Arial" w:eastAsia="Arial" w:hAnsi="Arial" w:cs="Arial"/>
                <w:b/>
                <w:bCs/>
                <w:sz w:val="17"/>
                <w:szCs w:val="17"/>
              </w:rPr>
              <w:t>Finance and Insurance</w:t>
            </w:r>
          </w:p>
        </w:tc>
        <w:tc>
          <w:tcPr>
            <w:tcW w:w="1680" w:type="dxa"/>
            <w:tcBorders>
              <w:top w:val="single" w:sz="4" w:space="0" w:color="BBBBBB"/>
              <w:left w:val="single" w:sz="4" w:space="0" w:color="BBBBBB"/>
              <w:bottom w:val="single" w:sz="4" w:space="0" w:color="BBBBBB"/>
              <w:right w:val="single" w:sz="4" w:space="0" w:color="BBBBBB"/>
            </w:tcBorders>
            <w:shd w:val="clear" w:color="auto" w:fill="F2F2F2"/>
            <w:tcMar>
              <w:top w:w="60" w:type="dxa"/>
              <w:left w:w="120" w:type="dxa"/>
              <w:bottom w:w="60" w:type="dxa"/>
              <w:right w:w="120" w:type="dxa"/>
            </w:tcMar>
          </w:tcPr>
          <w:p w14:paraId="190F22E7" w14:textId="77777777" w:rsidR="009157D7" w:rsidRDefault="009157D7" w:rsidP="006C151B">
            <w:pPr>
              <w:jc w:val="right"/>
            </w:pPr>
            <w:r>
              <w:rPr>
                <w:rFonts w:ascii="Arial" w:eastAsia="Arial" w:hAnsi="Arial" w:cs="Arial"/>
                <w:color w:val="000000"/>
                <w:sz w:val="17"/>
                <w:szCs w:val="17"/>
              </w:rPr>
              <w:t>9.5%</w:t>
            </w:r>
          </w:p>
        </w:tc>
        <w:tc>
          <w:tcPr>
            <w:tcW w:w="1680" w:type="dxa"/>
            <w:tcBorders>
              <w:top w:val="single" w:sz="4" w:space="0" w:color="BBBBBB"/>
              <w:left w:val="single" w:sz="4" w:space="0" w:color="BBBBBB"/>
              <w:bottom w:val="single" w:sz="4" w:space="0" w:color="BBBBBB"/>
              <w:right w:val="single" w:sz="4" w:space="0" w:color="BBBBBB"/>
            </w:tcBorders>
            <w:shd w:val="clear" w:color="auto" w:fill="F2F2F2"/>
            <w:tcMar>
              <w:top w:w="60" w:type="dxa"/>
              <w:left w:w="120" w:type="dxa"/>
              <w:bottom w:w="60" w:type="dxa"/>
              <w:right w:w="120" w:type="dxa"/>
            </w:tcMar>
          </w:tcPr>
          <w:p w14:paraId="74BAB309" w14:textId="77777777" w:rsidR="009157D7" w:rsidRDefault="009157D7" w:rsidP="006C151B">
            <w:pPr>
              <w:jc w:val="right"/>
            </w:pPr>
            <w:r>
              <w:rPr>
                <w:rFonts w:ascii="Arial" w:eastAsia="Arial" w:hAnsi="Arial" w:cs="Arial"/>
                <w:color w:val="000000"/>
                <w:sz w:val="17"/>
                <w:szCs w:val="17"/>
              </w:rPr>
              <w:t>7.1%</w:t>
            </w:r>
          </w:p>
        </w:tc>
        <w:tc>
          <w:tcPr>
            <w:tcW w:w="1680" w:type="dxa"/>
            <w:tcBorders>
              <w:top w:val="single" w:sz="4" w:space="0" w:color="BBBBBB"/>
              <w:left w:val="single" w:sz="4" w:space="0" w:color="BBBBBB"/>
              <w:bottom w:val="single" w:sz="4" w:space="0" w:color="BBBBBB"/>
              <w:right w:val="single" w:sz="4" w:space="0" w:color="BBBBBB"/>
            </w:tcBorders>
            <w:shd w:val="clear" w:color="auto" w:fill="F2F2F2"/>
            <w:tcMar>
              <w:top w:w="60" w:type="dxa"/>
              <w:left w:w="120" w:type="dxa"/>
              <w:bottom w:w="60" w:type="dxa"/>
              <w:right w:w="120" w:type="dxa"/>
            </w:tcMar>
          </w:tcPr>
          <w:p w14:paraId="3973462C" w14:textId="77777777" w:rsidR="009157D7" w:rsidRDefault="009157D7" w:rsidP="006C151B">
            <w:pPr>
              <w:jc w:val="right"/>
            </w:pPr>
            <w:r>
              <w:rPr>
                <w:rFonts w:ascii="Arial" w:eastAsia="Arial" w:hAnsi="Arial" w:cs="Arial"/>
                <w:color w:val="000000"/>
                <w:sz w:val="17"/>
                <w:szCs w:val="17"/>
              </w:rPr>
              <w:t>4.3%</w:t>
            </w:r>
          </w:p>
        </w:tc>
      </w:tr>
      <w:tr w:rsidR="009157D7" w14:paraId="4FE34DD9" w14:textId="77777777" w:rsidTr="006C151B">
        <w:tc>
          <w:tcPr>
            <w:tcW w:w="36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14:paraId="44607141" w14:textId="77777777" w:rsidR="009157D7" w:rsidRDefault="009157D7" w:rsidP="006C151B">
            <w:r>
              <w:rPr>
                <w:rFonts w:ascii="Arial" w:eastAsia="Arial" w:hAnsi="Arial" w:cs="Arial"/>
                <w:b/>
                <w:bCs/>
                <w:sz w:val="17"/>
                <w:szCs w:val="17"/>
              </w:rPr>
              <w:lastRenderedPageBreak/>
              <w:t>Health Care &amp; Social Assistance</w:t>
            </w:r>
          </w:p>
        </w:tc>
        <w:tc>
          <w:tcPr>
            <w:tcW w:w="168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14:paraId="42E5AECB" w14:textId="77777777" w:rsidR="009157D7" w:rsidRDefault="009157D7" w:rsidP="006C151B">
            <w:pPr>
              <w:jc w:val="right"/>
            </w:pPr>
            <w:r>
              <w:rPr>
                <w:rFonts w:ascii="Arial" w:eastAsia="Arial" w:hAnsi="Arial" w:cs="Arial"/>
                <w:color w:val="000000"/>
                <w:sz w:val="17"/>
                <w:szCs w:val="17"/>
              </w:rPr>
              <w:t>21.0%</w:t>
            </w:r>
          </w:p>
        </w:tc>
        <w:tc>
          <w:tcPr>
            <w:tcW w:w="168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14:paraId="006F75F8" w14:textId="77777777" w:rsidR="009157D7" w:rsidRDefault="009157D7" w:rsidP="006C151B">
            <w:pPr>
              <w:jc w:val="right"/>
            </w:pPr>
            <w:r>
              <w:rPr>
                <w:rFonts w:ascii="Arial" w:eastAsia="Arial" w:hAnsi="Arial" w:cs="Arial"/>
                <w:color w:val="000000"/>
                <w:sz w:val="17"/>
                <w:szCs w:val="17"/>
              </w:rPr>
              <w:t>5.4%</w:t>
            </w:r>
          </w:p>
        </w:tc>
        <w:tc>
          <w:tcPr>
            <w:tcW w:w="168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14:paraId="4F0D64DD" w14:textId="77777777" w:rsidR="009157D7" w:rsidRDefault="009157D7" w:rsidP="006C151B">
            <w:pPr>
              <w:jc w:val="right"/>
            </w:pPr>
            <w:r>
              <w:rPr>
                <w:rFonts w:ascii="Arial" w:eastAsia="Arial" w:hAnsi="Arial" w:cs="Arial"/>
                <w:color w:val="000000"/>
                <w:sz w:val="17"/>
                <w:szCs w:val="17"/>
              </w:rPr>
              <w:t>2.9%</w:t>
            </w:r>
          </w:p>
        </w:tc>
      </w:tr>
      <w:tr w:rsidR="009157D7" w14:paraId="13C1A903" w14:textId="77777777" w:rsidTr="006C151B">
        <w:tc>
          <w:tcPr>
            <w:tcW w:w="3600" w:type="dxa"/>
            <w:tcBorders>
              <w:top w:val="single" w:sz="4" w:space="0" w:color="BBBBBB"/>
              <w:left w:val="single" w:sz="4" w:space="0" w:color="BBBBBB"/>
              <w:bottom w:val="single" w:sz="4" w:space="0" w:color="BBBBBB"/>
              <w:right w:val="single" w:sz="4" w:space="0" w:color="BBBBBB"/>
            </w:tcBorders>
            <w:shd w:val="clear" w:color="auto" w:fill="F2F2F2"/>
            <w:tcMar>
              <w:top w:w="60" w:type="dxa"/>
              <w:left w:w="120" w:type="dxa"/>
              <w:bottom w:w="60" w:type="dxa"/>
              <w:right w:w="120" w:type="dxa"/>
            </w:tcMar>
          </w:tcPr>
          <w:p w14:paraId="5E2E61C9" w14:textId="77777777" w:rsidR="009157D7" w:rsidRDefault="009157D7" w:rsidP="006C151B">
            <w:r>
              <w:rPr>
                <w:rFonts w:ascii="Arial" w:eastAsia="Arial" w:hAnsi="Arial" w:cs="Arial"/>
                <w:b/>
                <w:bCs/>
                <w:sz w:val="17"/>
                <w:szCs w:val="17"/>
              </w:rPr>
              <w:t>Information</w:t>
            </w:r>
          </w:p>
        </w:tc>
        <w:tc>
          <w:tcPr>
            <w:tcW w:w="1680" w:type="dxa"/>
            <w:tcBorders>
              <w:top w:val="single" w:sz="4" w:space="0" w:color="BBBBBB"/>
              <w:left w:val="single" w:sz="4" w:space="0" w:color="BBBBBB"/>
              <w:bottom w:val="single" w:sz="4" w:space="0" w:color="BBBBBB"/>
              <w:right w:val="single" w:sz="4" w:space="0" w:color="BBBBBB"/>
            </w:tcBorders>
            <w:shd w:val="clear" w:color="auto" w:fill="F2F2F2"/>
            <w:tcMar>
              <w:top w:w="60" w:type="dxa"/>
              <w:left w:w="120" w:type="dxa"/>
              <w:bottom w:w="60" w:type="dxa"/>
              <w:right w:w="120" w:type="dxa"/>
            </w:tcMar>
          </w:tcPr>
          <w:p w14:paraId="346A41B3" w14:textId="77777777" w:rsidR="009157D7" w:rsidRDefault="009157D7" w:rsidP="006C151B">
            <w:pPr>
              <w:jc w:val="right"/>
            </w:pPr>
            <w:r>
              <w:rPr>
                <w:rFonts w:ascii="Arial" w:eastAsia="Arial" w:hAnsi="Arial" w:cs="Arial"/>
                <w:color w:val="000000"/>
                <w:sz w:val="17"/>
                <w:szCs w:val="17"/>
              </w:rPr>
              <w:t>10.5%</w:t>
            </w:r>
          </w:p>
        </w:tc>
        <w:tc>
          <w:tcPr>
            <w:tcW w:w="1680" w:type="dxa"/>
            <w:tcBorders>
              <w:top w:val="single" w:sz="4" w:space="0" w:color="BBBBBB"/>
              <w:left w:val="single" w:sz="4" w:space="0" w:color="BBBBBB"/>
              <w:bottom w:val="single" w:sz="4" w:space="0" w:color="BBBBBB"/>
              <w:right w:val="single" w:sz="4" w:space="0" w:color="BBBBBB"/>
            </w:tcBorders>
            <w:shd w:val="clear" w:color="auto" w:fill="F2F2F2"/>
            <w:tcMar>
              <w:top w:w="60" w:type="dxa"/>
              <w:left w:w="120" w:type="dxa"/>
              <w:bottom w:w="60" w:type="dxa"/>
              <w:right w:w="120" w:type="dxa"/>
            </w:tcMar>
          </w:tcPr>
          <w:p w14:paraId="6B673628" w14:textId="77777777" w:rsidR="009157D7" w:rsidRDefault="009157D7" w:rsidP="006C151B">
            <w:pPr>
              <w:jc w:val="right"/>
            </w:pPr>
            <w:r>
              <w:rPr>
                <w:rFonts w:ascii="Arial" w:eastAsia="Arial" w:hAnsi="Arial" w:cs="Arial"/>
                <w:color w:val="000000"/>
                <w:sz w:val="17"/>
                <w:szCs w:val="17"/>
              </w:rPr>
              <w:t>6.2%</w:t>
            </w:r>
          </w:p>
        </w:tc>
        <w:tc>
          <w:tcPr>
            <w:tcW w:w="1680" w:type="dxa"/>
            <w:tcBorders>
              <w:top w:val="single" w:sz="4" w:space="0" w:color="BBBBBB"/>
              <w:left w:val="single" w:sz="4" w:space="0" w:color="BBBBBB"/>
              <w:bottom w:val="single" w:sz="4" w:space="0" w:color="BBBBBB"/>
              <w:right w:val="single" w:sz="4" w:space="0" w:color="BBBBBB"/>
            </w:tcBorders>
            <w:shd w:val="clear" w:color="auto" w:fill="F2F2F2"/>
            <w:tcMar>
              <w:top w:w="60" w:type="dxa"/>
              <w:left w:w="120" w:type="dxa"/>
              <w:bottom w:w="60" w:type="dxa"/>
              <w:right w:w="120" w:type="dxa"/>
            </w:tcMar>
          </w:tcPr>
          <w:p w14:paraId="71959D55" w14:textId="77777777" w:rsidR="009157D7" w:rsidRDefault="009157D7" w:rsidP="006C151B">
            <w:pPr>
              <w:jc w:val="right"/>
            </w:pPr>
            <w:r>
              <w:rPr>
                <w:rFonts w:ascii="Arial" w:eastAsia="Arial" w:hAnsi="Arial" w:cs="Arial"/>
                <w:color w:val="000000"/>
                <w:sz w:val="17"/>
                <w:szCs w:val="17"/>
              </w:rPr>
              <w:t>4.4%</w:t>
            </w:r>
          </w:p>
        </w:tc>
      </w:tr>
      <w:tr w:rsidR="009157D7" w14:paraId="382411FD" w14:textId="77777777" w:rsidTr="006C151B">
        <w:tc>
          <w:tcPr>
            <w:tcW w:w="36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14:paraId="077D978F" w14:textId="77777777" w:rsidR="009157D7" w:rsidRDefault="009157D7" w:rsidP="006C151B">
            <w:r>
              <w:rPr>
                <w:rFonts w:ascii="Arial" w:eastAsia="Arial" w:hAnsi="Arial" w:cs="Arial"/>
                <w:b/>
                <w:bCs/>
                <w:sz w:val="17"/>
                <w:szCs w:val="17"/>
              </w:rPr>
              <w:t>Manufacturing</w:t>
            </w:r>
          </w:p>
        </w:tc>
        <w:tc>
          <w:tcPr>
            <w:tcW w:w="168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14:paraId="782BF6A7" w14:textId="77777777" w:rsidR="009157D7" w:rsidRDefault="009157D7" w:rsidP="006C151B">
            <w:pPr>
              <w:jc w:val="right"/>
            </w:pPr>
            <w:r>
              <w:rPr>
                <w:rFonts w:ascii="Arial" w:eastAsia="Arial" w:hAnsi="Arial" w:cs="Arial"/>
                <w:color w:val="000000"/>
                <w:sz w:val="17"/>
                <w:szCs w:val="17"/>
              </w:rPr>
              <w:t>14.4%</w:t>
            </w:r>
          </w:p>
        </w:tc>
        <w:tc>
          <w:tcPr>
            <w:tcW w:w="168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14:paraId="49A25D3A" w14:textId="77777777" w:rsidR="009157D7" w:rsidRDefault="009157D7" w:rsidP="006C151B">
            <w:pPr>
              <w:jc w:val="right"/>
            </w:pPr>
            <w:r>
              <w:rPr>
                <w:rFonts w:ascii="Arial" w:eastAsia="Arial" w:hAnsi="Arial" w:cs="Arial"/>
                <w:color w:val="000000"/>
                <w:sz w:val="17"/>
                <w:szCs w:val="17"/>
              </w:rPr>
              <w:t>3.6%</w:t>
            </w:r>
          </w:p>
        </w:tc>
        <w:tc>
          <w:tcPr>
            <w:tcW w:w="168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14:paraId="74DF5DF2" w14:textId="77777777" w:rsidR="009157D7" w:rsidRDefault="009157D7" w:rsidP="006C151B">
            <w:pPr>
              <w:jc w:val="right"/>
            </w:pPr>
            <w:r>
              <w:rPr>
                <w:rFonts w:ascii="Arial" w:eastAsia="Arial" w:hAnsi="Arial" w:cs="Arial"/>
                <w:color w:val="000000"/>
                <w:sz w:val="17"/>
                <w:szCs w:val="17"/>
              </w:rPr>
              <w:t>4.6%</w:t>
            </w:r>
          </w:p>
        </w:tc>
      </w:tr>
      <w:tr w:rsidR="009157D7" w14:paraId="3AB91EB3" w14:textId="77777777" w:rsidTr="006C151B">
        <w:tc>
          <w:tcPr>
            <w:tcW w:w="3600" w:type="dxa"/>
            <w:tcBorders>
              <w:top w:val="single" w:sz="4" w:space="0" w:color="BBBBBB"/>
              <w:left w:val="single" w:sz="4" w:space="0" w:color="BBBBBB"/>
              <w:bottom w:val="single" w:sz="4" w:space="0" w:color="BBBBBB"/>
              <w:right w:val="single" w:sz="4" w:space="0" w:color="BBBBBB"/>
            </w:tcBorders>
            <w:shd w:val="clear" w:color="auto" w:fill="F2F2F2"/>
            <w:tcMar>
              <w:top w:w="60" w:type="dxa"/>
              <w:left w:w="120" w:type="dxa"/>
              <w:bottom w:w="60" w:type="dxa"/>
              <w:right w:w="120" w:type="dxa"/>
            </w:tcMar>
          </w:tcPr>
          <w:p w14:paraId="5AD2E12A" w14:textId="77777777" w:rsidR="009157D7" w:rsidRDefault="009157D7" w:rsidP="006C151B">
            <w:r>
              <w:rPr>
                <w:rFonts w:ascii="Arial" w:eastAsia="Arial" w:hAnsi="Arial" w:cs="Arial"/>
                <w:b/>
                <w:bCs/>
                <w:sz w:val="17"/>
                <w:szCs w:val="17"/>
              </w:rPr>
              <w:t>Other Services</w:t>
            </w:r>
          </w:p>
        </w:tc>
        <w:tc>
          <w:tcPr>
            <w:tcW w:w="1680" w:type="dxa"/>
            <w:tcBorders>
              <w:top w:val="single" w:sz="4" w:space="0" w:color="BBBBBB"/>
              <w:left w:val="single" w:sz="4" w:space="0" w:color="BBBBBB"/>
              <w:bottom w:val="single" w:sz="4" w:space="0" w:color="BBBBBB"/>
              <w:right w:val="single" w:sz="4" w:space="0" w:color="BBBBBB"/>
            </w:tcBorders>
            <w:shd w:val="clear" w:color="auto" w:fill="F2F2F2"/>
            <w:tcMar>
              <w:top w:w="60" w:type="dxa"/>
              <w:left w:w="120" w:type="dxa"/>
              <w:bottom w:w="60" w:type="dxa"/>
              <w:right w:w="120" w:type="dxa"/>
            </w:tcMar>
          </w:tcPr>
          <w:p w14:paraId="6714E252" w14:textId="77777777" w:rsidR="009157D7" w:rsidRDefault="009157D7" w:rsidP="006C151B">
            <w:pPr>
              <w:jc w:val="right"/>
            </w:pPr>
            <w:r>
              <w:rPr>
                <w:rFonts w:ascii="Arial" w:eastAsia="Arial" w:hAnsi="Arial" w:cs="Arial"/>
                <w:color w:val="000000"/>
                <w:sz w:val="17"/>
                <w:szCs w:val="17"/>
              </w:rPr>
              <w:t>25.5%</w:t>
            </w:r>
          </w:p>
        </w:tc>
        <w:tc>
          <w:tcPr>
            <w:tcW w:w="1680" w:type="dxa"/>
            <w:tcBorders>
              <w:top w:val="single" w:sz="4" w:space="0" w:color="BBBBBB"/>
              <w:left w:val="single" w:sz="4" w:space="0" w:color="BBBBBB"/>
              <w:bottom w:val="single" w:sz="4" w:space="0" w:color="BBBBBB"/>
              <w:right w:val="single" w:sz="4" w:space="0" w:color="BBBBBB"/>
            </w:tcBorders>
            <w:shd w:val="clear" w:color="auto" w:fill="F2F2F2"/>
            <w:tcMar>
              <w:top w:w="60" w:type="dxa"/>
              <w:left w:w="120" w:type="dxa"/>
              <w:bottom w:w="60" w:type="dxa"/>
              <w:right w:w="120" w:type="dxa"/>
            </w:tcMar>
          </w:tcPr>
          <w:p w14:paraId="273B4A5E" w14:textId="77777777" w:rsidR="009157D7" w:rsidRDefault="009157D7" w:rsidP="006C151B">
            <w:pPr>
              <w:jc w:val="right"/>
            </w:pPr>
            <w:r>
              <w:rPr>
                <w:rFonts w:ascii="Arial" w:eastAsia="Arial" w:hAnsi="Arial" w:cs="Arial"/>
                <w:color w:val="000000"/>
                <w:sz w:val="17"/>
                <w:szCs w:val="17"/>
              </w:rPr>
              <w:t>5.2%</w:t>
            </w:r>
          </w:p>
        </w:tc>
        <w:tc>
          <w:tcPr>
            <w:tcW w:w="1680" w:type="dxa"/>
            <w:tcBorders>
              <w:top w:val="single" w:sz="4" w:space="0" w:color="BBBBBB"/>
              <w:left w:val="single" w:sz="4" w:space="0" w:color="BBBBBB"/>
              <w:bottom w:val="single" w:sz="4" w:space="0" w:color="BBBBBB"/>
              <w:right w:val="single" w:sz="4" w:space="0" w:color="BBBBBB"/>
            </w:tcBorders>
            <w:shd w:val="clear" w:color="auto" w:fill="F2F2F2"/>
            <w:tcMar>
              <w:top w:w="60" w:type="dxa"/>
              <w:left w:w="120" w:type="dxa"/>
              <w:bottom w:w="60" w:type="dxa"/>
              <w:right w:w="120" w:type="dxa"/>
            </w:tcMar>
          </w:tcPr>
          <w:p w14:paraId="28A0C52D" w14:textId="77777777" w:rsidR="009157D7" w:rsidRDefault="009157D7" w:rsidP="006C151B">
            <w:pPr>
              <w:jc w:val="right"/>
            </w:pPr>
            <w:r>
              <w:rPr>
                <w:rFonts w:ascii="Arial" w:eastAsia="Arial" w:hAnsi="Arial" w:cs="Arial"/>
                <w:color w:val="000000"/>
                <w:sz w:val="17"/>
                <w:szCs w:val="17"/>
              </w:rPr>
              <w:t>4.0%</w:t>
            </w:r>
          </w:p>
        </w:tc>
      </w:tr>
      <w:tr w:rsidR="009157D7" w14:paraId="3A0034EF" w14:textId="77777777" w:rsidTr="006C151B">
        <w:tc>
          <w:tcPr>
            <w:tcW w:w="36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14:paraId="6ADB7A36" w14:textId="77777777" w:rsidR="009157D7" w:rsidRDefault="009157D7" w:rsidP="006C151B">
            <w:r>
              <w:rPr>
                <w:rFonts w:ascii="Arial" w:eastAsia="Arial" w:hAnsi="Arial" w:cs="Arial"/>
                <w:b/>
                <w:bCs/>
                <w:sz w:val="17"/>
                <w:szCs w:val="17"/>
              </w:rPr>
              <w:t xml:space="preserve">Prof., Scientific &amp; Technical </w:t>
            </w:r>
            <w:proofErr w:type="spellStart"/>
            <w:r>
              <w:rPr>
                <w:rFonts w:ascii="Arial" w:eastAsia="Arial" w:hAnsi="Arial" w:cs="Arial"/>
                <w:b/>
                <w:bCs/>
                <w:sz w:val="17"/>
                <w:szCs w:val="17"/>
              </w:rPr>
              <w:t>Svcs</w:t>
            </w:r>
            <w:proofErr w:type="spellEnd"/>
          </w:p>
        </w:tc>
        <w:tc>
          <w:tcPr>
            <w:tcW w:w="168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14:paraId="00EC6ADF" w14:textId="77777777" w:rsidR="009157D7" w:rsidRDefault="009157D7" w:rsidP="006C151B">
            <w:pPr>
              <w:jc w:val="right"/>
            </w:pPr>
            <w:r>
              <w:rPr>
                <w:rFonts w:ascii="Arial" w:eastAsia="Arial" w:hAnsi="Arial" w:cs="Arial"/>
                <w:color w:val="000000"/>
                <w:sz w:val="17"/>
                <w:szCs w:val="17"/>
              </w:rPr>
              <w:t>10.7%</w:t>
            </w:r>
          </w:p>
        </w:tc>
        <w:tc>
          <w:tcPr>
            <w:tcW w:w="168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14:paraId="08CCAD3B" w14:textId="77777777" w:rsidR="009157D7" w:rsidRDefault="009157D7" w:rsidP="006C151B">
            <w:pPr>
              <w:jc w:val="right"/>
            </w:pPr>
            <w:r>
              <w:rPr>
                <w:rFonts w:ascii="Arial" w:eastAsia="Arial" w:hAnsi="Arial" w:cs="Arial"/>
                <w:color w:val="000000"/>
                <w:sz w:val="17"/>
                <w:szCs w:val="17"/>
              </w:rPr>
              <w:t>2.2%</w:t>
            </w:r>
          </w:p>
        </w:tc>
        <w:tc>
          <w:tcPr>
            <w:tcW w:w="168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14:paraId="2F1E5719" w14:textId="77777777" w:rsidR="009157D7" w:rsidRDefault="009157D7" w:rsidP="006C151B">
            <w:pPr>
              <w:jc w:val="right"/>
            </w:pPr>
            <w:r>
              <w:rPr>
                <w:rFonts w:ascii="Arial" w:eastAsia="Arial" w:hAnsi="Arial" w:cs="Arial"/>
                <w:color w:val="000000"/>
                <w:sz w:val="17"/>
                <w:szCs w:val="17"/>
              </w:rPr>
              <w:t>3.4%</w:t>
            </w:r>
          </w:p>
        </w:tc>
      </w:tr>
      <w:tr w:rsidR="009157D7" w14:paraId="7BD3B59F" w14:textId="77777777" w:rsidTr="006C151B">
        <w:tc>
          <w:tcPr>
            <w:tcW w:w="3600" w:type="dxa"/>
            <w:tcBorders>
              <w:top w:val="single" w:sz="4" w:space="0" w:color="BBBBBB"/>
              <w:left w:val="single" w:sz="4" w:space="0" w:color="BBBBBB"/>
              <w:bottom w:val="single" w:sz="4" w:space="0" w:color="BBBBBB"/>
              <w:right w:val="single" w:sz="4" w:space="0" w:color="BBBBBB"/>
            </w:tcBorders>
            <w:shd w:val="clear" w:color="auto" w:fill="F2F2F2"/>
            <w:tcMar>
              <w:top w:w="60" w:type="dxa"/>
              <w:left w:w="120" w:type="dxa"/>
              <w:bottom w:w="60" w:type="dxa"/>
              <w:right w:w="120" w:type="dxa"/>
            </w:tcMar>
          </w:tcPr>
          <w:p w14:paraId="34FB84A9" w14:textId="77777777" w:rsidR="009157D7" w:rsidRDefault="009157D7" w:rsidP="006C151B">
            <w:r>
              <w:rPr>
                <w:rFonts w:ascii="Arial" w:eastAsia="Arial" w:hAnsi="Arial" w:cs="Arial"/>
                <w:b/>
                <w:bCs/>
                <w:sz w:val="17"/>
                <w:szCs w:val="17"/>
              </w:rPr>
              <w:t>Public Administration</w:t>
            </w:r>
          </w:p>
        </w:tc>
        <w:tc>
          <w:tcPr>
            <w:tcW w:w="1680" w:type="dxa"/>
            <w:tcBorders>
              <w:top w:val="single" w:sz="4" w:space="0" w:color="BBBBBB"/>
              <w:left w:val="single" w:sz="4" w:space="0" w:color="BBBBBB"/>
              <w:bottom w:val="single" w:sz="4" w:space="0" w:color="BBBBBB"/>
              <w:right w:val="single" w:sz="4" w:space="0" w:color="BBBBBB"/>
            </w:tcBorders>
            <w:shd w:val="clear" w:color="auto" w:fill="F2F2F2"/>
            <w:tcMar>
              <w:top w:w="60" w:type="dxa"/>
              <w:left w:w="120" w:type="dxa"/>
              <w:bottom w:w="60" w:type="dxa"/>
              <w:right w:w="120" w:type="dxa"/>
            </w:tcMar>
          </w:tcPr>
          <w:p w14:paraId="301D22A9" w14:textId="77777777" w:rsidR="009157D7" w:rsidRDefault="009157D7" w:rsidP="006C151B">
            <w:pPr>
              <w:jc w:val="right"/>
            </w:pPr>
            <w:r>
              <w:rPr>
                <w:rFonts w:ascii="Arial" w:eastAsia="Arial" w:hAnsi="Arial" w:cs="Arial"/>
                <w:color w:val="000000"/>
                <w:sz w:val="17"/>
                <w:szCs w:val="17"/>
              </w:rPr>
              <w:t>9.4%</w:t>
            </w:r>
          </w:p>
        </w:tc>
        <w:tc>
          <w:tcPr>
            <w:tcW w:w="1680" w:type="dxa"/>
            <w:tcBorders>
              <w:top w:val="single" w:sz="4" w:space="0" w:color="BBBBBB"/>
              <w:left w:val="single" w:sz="4" w:space="0" w:color="BBBBBB"/>
              <w:bottom w:val="single" w:sz="4" w:space="0" w:color="BBBBBB"/>
              <w:right w:val="single" w:sz="4" w:space="0" w:color="BBBBBB"/>
            </w:tcBorders>
            <w:shd w:val="clear" w:color="auto" w:fill="F2F2F2"/>
            <w:tcMar>
              <w:top w:w="60" w:type="dxa"/>
              <w:left w:w="120" w:type="dxa"/>
              <w:bottom w:w="60" w:type="dxa"/>
              <w:right w:w="120" w:type="dxa"/>
            </w:tcMar>
          </w:tcPr>
          <w:p w14:paraId="68C76A02" w14:textId="77777777" w:rsidR="009157D7" w:rsidRDefault="009157D7" w:rsidP="006C151B">
            <w:pPr>
              <w:jc w:val="right"/>
            </w:pPr>
            <w:r>
              <w:rPr>
                <w:rFonts w:ascii="Arial" w:eastAsia="Arial" w:hAnsi="Arial" w:cs="Arial"/>
                <w:color w:val="000000"/>
                <w:sz w:val="17"/>
                <w:szCs w:val="17"/>
              </w:rPr>
              <w:t>7.1%</w:t>
            </w:r>
          </w:p>
        </w:tc>
        <w:tc>
          <w:tcPr>
            <w:tcW w:w="1680" w:type="dxa"/>
            <w:tcBorders>
              <w:top w:val="single" w:sz="4" w:space="0" w:color="BBBBBB"/>
              <w:left w:val="single" w:sz="4" w:space="0" w:color="BBBBBB"/>
              <w:bottom w:val="single" w:sz="4" w:space="0" w:color="BBBBBB"/>
              <w:right w:val="single" w:sz="4" w:space="0" w:color="BBBBBB"/>
            </w:tcBorders>
            <w:shd w:val="clear" w:color="auto" w:fill="F2F2F2"/>
            <w:tcMar>
              <w:top w:w="60" w:type="dxa"/>
              <w:left w:w="120" w:type="dxa"/>
              <w:bottom w:w="60" w:type="dxa"/>
              <w:right w:w="120" w:type="dxa"/>
            </w:tcMar>
          </w:tcPr>
          <w:p w14:paraId="453ACCE8" w14:textId="77777777" w:rsidR="009157D7" w:rsidRDefault="009157D7" w:rsidP="006C151B">
            <w:pPr>
              <w:jc w:val="right"/>
            </w:pPr>
            <w:r>
              <w:rPr>
                <w:rFonts w:ascii="Arial" w:eastAsia="Arial" w:hAnsi="Arial" w:cs="Arial"/>
                <w:color w:val="000000"/>
                <w:sz w:val="17"/>
                <w:szCs w:val="17"/>
              </w:rPr>
              <w:t>4.9%</w:t>
            </w:r>
          </w:p>
        </w:tc>
      </w:tr>
      <w:tr w:rsidR="009157D7" w14:paraId="6BC6B976" w14:textId="77777777" w:rsidTr="006C151B">
        <w:tc>
          <w:tcPr>
            <w:tcW w:w="36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14:paraId="03EB90B2" w14:textId="77777777" w:rsidR="009157D7" w:rsidRDefault="009157D7" w:rsidP="006C151B">
            <w:r>
              <w:rPr>
                <w:rFonts w:ascii="Arial" w:eastAsia="Arial" w:hAnsi="Arial" w:cs="Arial"/>
                <w:b/>
                <w:bCs/>
                <w:sz w:val="17"/>
                <w:szCs w:val="17"/>
              </w:rPr>
              <w:t>Real Estate &amp; Rental/Leasing</w:t>
            </w:r>
          </w:p>
        </w:tc>
        <w:tc>
          <w:tcPr>
            <w:tcW w:w="168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14:paraId="7F1AC0EC" w14:textId="77777777" w:rsidR="009157D7" w:rsidRDefault="009157D7" w:rsidP="006C151B">
            <w:pPr>
              <w:jc w:val="right"/>
            </w:pPr>
            <w:r>
              <w:rPr>
                <w:rFonts w:ascii="Arial" w:eastAsia="Arial" w:hAnsi="Arial" w:cs="Arial"/>
                <w:color w:val="000000"/>
                <w:sz w:val="17"/>
                <w:szCs w:val="17"/>
              </w:rPr>
              <w:t>27.1%</w:t>
            </w:r>
          </w:p>
        </w:tc>
        <w:tc>
          <w:tcPr>
            <w:tcW w:w="168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14:paraId="406809C8" w14:textId="77777777" w:rsidR="009157D7" w:rsidRDefault="009157D7" w:rsidP="006C151B">
            <w:pPr>
              <w:jc w:val="right"/>
            </w:pPr>
            <w:r>
              <w:rPr>
                <w:rFonts w:ascii="Arial" w:eastAsia="Arial" w:hAnsi="Arial" w:cs="Arial"/>
                <w:color w:val="000000"/>
                <w:sz w:val="17"/>
                <w:szCs w:val="17"/>
              </w:rPr>
              <w:t>5.2%</w:t>
            </w:r>
          </w:p>
        </w:tc>
        <w:tc>
          <w:tcPr>
            <w:tcW w:w="168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14:paraId="724C14CC" w14:textId="77777777" w:rsidR="009157D7" w:rsidRDefault="009157D7" w:rsidP="006C151B">
            <w:pPr>
              <w:jc w:val="right"/>
            </w:pPr>
            <w:r>
              <w:rPr>
                <w:rFonts w:ascii="Arial" w:eastAsia="Arial" w:hAnsi="Arial" w:cs="Arial"/>
                <w:color w:val="000000"/>
                <w:sz w:val="17"/>
                <w:szCs w:val="17"/>
              </w:rPr>
              <w:t>3.8%</w:t>
            </w:r>
          </w:p>
        </w:tc>
      </w:tr>
      <w:tr w:rsidR="009157D7" w14:paraId="52F67D07" w14:textId="77777777" w:rsidTr="006C151B">
        <w:tc>
          <w:tcPr>
            <w:tcW w:w="3600" w:type="dxa"/>
            <w:tcBorders>
              <w:top w:val="single" w:sz="4" w:space="0" w:color="BBBBBB"/>
              <w:left w:val="single" w:sz="4" w:space="0" w:color="BBBBBB"/>
              <w:bottom w:val="single" w:sz="4" w:space="0" w:color="BBBBBB"/>
              <w:right w:val="single" w:sz="4" w:space="0" w:color="BBBBBB"/>
            </w:tcBorders>
            <w:shd w:val="clear" w:color="auto" w:fill="F2F2F2"/>
            <w:tcMar>
              <w:top w:w="60" w:type="dxa"/>
              <w:left w:w="120" w:type="dxa"/>
              <w:bottom w:w="60" w:type="dxa"/>
              <w:right w:w="120" w:type="dxa"/>
            </w:tcMar>
          </w:tcPr>
          <w:p w14:paraId="41C5DEAD" w14:textId="77777777" w:rsidR="009157D7" w:rsidRDefault="009157D7" w:rsidP="006C151B">
            <w:r>
              <w:rPr>
                <w:rFonts w:ascii="Arial" w:eastAsia="Arial" w:hAnsi="Arial" w:cs="Arial"/>
                <w:b/>
                <w:bCs/>
                <w:sz w:val="17"/>
                <w:szCs w:val="17"/>
              </w:rPr>
              <w:t>Retail Trade</w:t>
            </w:r>
          </w:p>
        </w:tc>
        <w:tc>
          <w:tcPr>
            <w:tcW w:w="1680" w:type="dxa"/>
            <w:tcBorders>
              <w:top w:val="single" w:sz="4" w:space="0" w:color="BBBBBB"/>
              <w:left w:val="single" w:sz="4" w:space="0" w:color="BBBBBB"/>
              <w:bottom w:val="single" w:sz="4" w:space="0" w:color="BBBBBB"/>
              <w:right w:val="single" w:sz="4" w:space="0" w:color="BBBBBB"/>
            </w:tcBorders>
            <w:shd w:val="clear" w:color="auto" w:fill="F2F2F2"/>
            <w:tcMar>
              <w:top w:w="60" w:type="dxa"/>
              <w:left w:w="120" w:type="dxa"/>
              <w:bottom w:w="60" w:type="dxa"/>
              <w:right w:w="120" w:type="dxa"/>
            </w:tcMar>
          </w:tcPr>
          <w:p w14:paraId="5EFC6199" w14:textId="77777777" w:rsidR="009157D7" w:rsidRDefault="009157D7" w:rsidP="006C151B">
            <w:pPr>
              <w:jc w:val="right"/>
            </w:pPr>
            <w:r>
              <w:rPr>
                <w:rFonts w:ascii="Arial" w:eastAsia="Arial" w:hAnsi="Arial" w:cs="Arial"/>
                <w:color w:val="000000"/>
                <w:sz w:val="17"/>
                <w:szCs w:val="17"/>
              </w:rPr>
              <w:t>29.0%</w:t>
            </w:r>
          </w:p>
        </w:tc>
        <w:tc>
          <w:tcPr>
            <w:tcW w:w="1680" w:type="dxa"/>
            <w:tcBorders>
              <w:top w:val="single" w:sz="4" w:space="0" w:color="BBBBBB"/>
              <w:left w:val="single" w:sz="4" w:space="0" w:color="BBBBBB"/>
              <w:bottom w:val="single" w:sz="4" w:space="0" w:color="BBBBBB"/>
              <w:right w:val="single" w:sz="4" w:space="0" w:color="BBBBBB"/>
            </w:tcBorders>
            <w:shd w:val="clear" w:color="auto" w:fill="F2F2F2"/>
            <w:tcMar>
              <w:top w:w="60" w:type="dxa"/>
              <w:left w:w="120" w:type="dxa"/>
              <w:bottom w:w="60" w:type="dxa"/>
              <w:right w:w="120" w:type="dxa"/>
            </w:tcMar>
          </w:tcPr>
          <w:p w14:paraId="133900C1" w14:textId="77777777" w:rsidR="009157D7" w:rsidRDefault="009157D7" w:rsidP="006C151B">
            <w:pPr>
              <w:jc w:val="right"/>
            </w:pPr>
            <w:r>
              <w:rPr>
                <w:rFonts w:ascii="Arial" w:eastAsia="Arial" w:hAnsi="Arial" w:cs="Arial"/>
                <w:color w:val="000000"/>
                <w:sz w:val="17"/>
                <w:szCs w:val="17"/>
              </w:rPr>
              <w:t>7.0%</w:t>
            </w:r>
          </w:p>
        </w:tc>
        <w:tc>
          <w:tcPr>
            <w:tcW w:w="1680" w:type="dxa"/>
            <w:tcBorders>
              <w:top w:val="single" w:sz="4" w:space="0" w:color="BBBBBB"/>
              <w:left w:val="single" w:sz="4" w:space="0" w:color="BBBBBB"/>
              <w:bottom w:val="single" w:sz="4" w:space="0" w:color="BBBBBB"/>
              <w:right w:val="single" w:sz="4" w:space="0" w:color="BBBBBB"/>
            </w:tcBorders>
            <w:shd w:val="clear" w:color="auto" w:fill="F2F2F2"/>
            <w:tcMar>
              <w:top w:w="60" w:type="dxa"/>
              <w:left w:w="120" w:type="dxa"/>
              <w:bottom w:w="60" w:type="dxa"/>
              <w:right w:w="120" w:type="dxa"/>
            </w:tcMar>
          </w:tcPr>
          <w:p w14:paraId="0CDE9B3F" w14:textId="77777777" w:rsidR="009157D7" w:rsidRDefault="009157D7" w:rsidP="006C151B">
            <w:pPr>
              <w:jc w:val="right"/>
            </w:pPr>
            <w:r>
              <w:rPr>
                <w:rFonts w:ascii="Arial" w:eastAsia="Arial" w:hAnsi="Arial" w:cs="Arial"/>
                <w:color w:val="000000"/>
                <w:sz w:val="17"/>
                <w:szCs w:val="17"/>
              </w:rPr>
              <w:t>2.8%</w:t>
            </w:r>
          </w:p>
        </w:tc>
      </w:tr>
      <w:tr w:rsidR="009157D7" w14:paraId="29FAC509" w14:textId="77777777" w:rsidTr="006C151B">
        <w:tc>
          <w:tcPr>
            <w:tcW w:w="36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14:paraId="552757C6" w14:textId="77777777" w:rsidR="009157D7" w:rsidRDefault="009157D7" w:rsidP="006C151B">
            <w:r>
              <w:rPr>
                <w:rFonts w:ascii="Arial" w:eastAsia="Arial" w:hAnsi="Arial" w:cs="Arial"/>
                <w:b/>
                <w:bCs/>
                <w:sz w:val="17"/>
                <w:szCs w:val="17"/>
              </w:rPr>
              <w:t>Transportation &amp; Warehousing</w:t>
            </w:r>
          </w:p>
        </w:tc>
        <w:tc>
          <w:tcPr>
            <w:tcW w:w="168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14:paraId="615F25CA" w14:textId="77777777" w:rsidR="009157D7" w:rsidRDefault="009157D7" w:rsidP="006C151B">
            <w:pPr>
              <w:jc w:val="right"/>
            </w:pPr>
            <w:r>
              <w:rPr>
                <w:rFonts w:ascii="Arial" w:eastAsia="Arial" w:hAnsi="Arial" w:cs="Arial"/>
                <w:color w:val="000000"/>
                <w:sz w:val="17"/>
                <w:szCs w:val="17"/>
              </w:rPr>
              <w:t>20.0%</w:t>
            </w:r>
          </w:p>
        </w:tc>
        <w:tc>
          <w:tcPr>
            <w:tcW w:w="168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14:paraId="1A398E93" w14:textId="77777777" w:rsidR="009157D7" w:rsidRDefault="009157D7" w:rsidP="006C151B">
            <w:pPr>
              <w:jc w:val="right"/>
            </w:pPr>
            <w:r>
              <w:rPr>
                <w:rFonts w:ascii="Arial" w:eastAsia="Arial" w:hAnsi="Arial" w:cs="Arial"/>
                <w:color w:val="000000"/>
                <w:sz w:val="17"/>
                <w:szCs w:val="17"/>
              </w:rPr>
              <w:t>3.8%</w:t>
            </w:r>
          </w:p>
        </w:tc>
        <w:tc>
          <w:tcPr>
            <w:tcW w:w="168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14:paraId="2D1F6F3A" w14:textId="77777777" w:rsidR="009157D7" w:rsidRDefault="009157D7" w:rsidP="006C151B">
            <w:pPr>
              <w:jc w:val="right"/>
            </w:pPr>
            <w:r>
              <w:rPr>
                <w:rFonts w:ascii="Arial" w:eastAsia="Arial" w:hAnsi="Arial" w:cs="Arial"/>
                <w:color w:val="000000"/>
                <w:sz w:val="17"/>
                <w:szCs w:val="17"/>
              </w:rPr>
              <w:t>3.0%</w:t>
            </w:r>
          </w:p>
        </w:tc>
      </w:tr>
      <w:tr w:rsidR="009157D7" w14:paraId="0E51BCC7" w14:textId="77777777" w:rsidTr="006C151B">
        <w:tc>
          <w:tcPr>
            <w:tcW w:w="3600" w:type="dxa"/>
            <w:tcBorders>
              <w:top w:val="single" w:sz="4" w:space="0" w:color="BBBBBB"/>
              <w:left w:val="single" w:sz="4" w:space="0" w:color="BBBBBB"/>
              <w:bottom w:val="single" w:sz="4" w:space="0" w:color="BBBBBB"/>
              <w:right w:val="single" w:sz="4" w:space="0" w:color="BBBBBB"/>
            </w:tcBorders>
            <w:shd w:val="clear" w:color="auto" w:fill="F2F2F2"/>
            <w:tcMar>
              <w:top w:w="60" w:type="dxa"/>
              <w:left w:w="120" w:type="dxa"/>
              <w:bottom w:w="60" w:type="dxa"/>
              <w:right w:w="120" w:type="dxa"/>
            </w:tcMar>
          </w:tcPr>
          <w:p w14:paraId="1465B041" w14:textId="77777777" w:rsidR="009157D7" w:rsidRDefault="009157D7" w:rsidP="006C151B">
            <w:r>
              <w:rPr>
                <w:rFonts w:ascii="Arial" w:eastAsia="Arial" w:hAnsi="Arial" w:cs="Arial"/>
                <w:b/>
                <w:bCs/>
                <w:sz w:val="17"/>
                <w:szCs w:val="17"/>
              </w:rPr>
              <w:t>Utilities</w:t>
            </w:r>
          </w:p>
        </w:tc>
        <w:tc>
          <w:tcPr>
            <w:tcW w:w="1680" w:type="dxa"/>
            <w:tcBorders>
              <w:top w:val="single" w:sz="4" w:space="0" w:color="BBBBBB"/>
              <w:left w:val="single" w:sz="4" w:space="0" w:color="BBBBBB"/>
              <w:bottom w:val="single" w:sz="4" w:space="0" w:color="BBBBBB"/>
              <w:right w:val="single" w:sz="4" w:space="0" w:color="BBBBBB"/>
            </w:tcBorders>
            <w:shd w:val="clear" w:color="auto" w:fill="F2F2F2"/>
            <w:tcMar>
              <w:top w:w="60" w:type="dxa"/>
              <w:left w:w="120" w:type="dxa"/>
              <w:bottom w:w="60" w:type="dxa"/>
              <w:right w:w="120" w:type="dxa"/>
            </w:tcMar>
          </w:tcPr>
          <w:p w14:paraId="1C277A1E" w14:textId="77777777" w:rsidR="009157D7" w:rsidRDefault="009157D7" w:rsidP="006C151B">
            <w:pPr>
              <w:jc w:val="right"/>
            </w:pPr>
            <w:r>
              <w:rPr>
                <w:rFonts w:ascii="Arial" w:eastAsia="Arial" w:hAnsi="Arial" w:cs="Arial"/>
                <w:color w:val="000000"/>
                <w:sz w:val="17"/>
                <w:szCs w:val="17"/>
              </w:rPr>
              <w:t>5.4%</w:t>
            </w:r>
          </w:p>
        </w:tc>
        <w:tc>
          <w:tcPr>
            <w:tcW w:w="1680" w:type="dxa"/>
            <w:tcBorders>
              <w:top w:val="single" w:sz="4" w:space="0" w:color="BBBBBB"/>
              <w:left w:val="single" w:sz="4" w:space="0" w:color="BBBBBB"/>
              <w:bottom w:val="single" w:sz="4" w:space="0" w:color="BBBBBB"/>
              <w:right w:val="single" w:sz="4" w:space="0" w:color="BBBBBB"/>
            </w:tcBorders>
            <w:shd w:val="clear" w:color="auto" w:fill="F2F2F2"/>
            <w:tcMar>
              <w:top w:w="60" w:type="dxa"/>
              <w:left w:w="120" w:type="dxa"/>
              <w:bottom w:w="60" w:type="dxa"/>
              <w:right w:w="120" w:type="dxa"/>
            </w:tcMar>
          </w:tcPr>
          <w:p w14:paraId="318495D5" w14:textId="77777777" w:rsidR="009157D7" w:rsidRDefault="009157D7" w:rsidP="006C151B">
            <w:pPr>
              <w:jc w:val="right"/>
            </w:pPr>
            <w:r>
              <w:rPr>
                <w:rFonts w:ascii="Arial" w:eastAsia="Arial" w:hAnsi="Arial" w:cs="Arial"/>
                <w:color w:val="000000"/>
                <w:sz w:val="17"/>
                <w:szCs w:val="17"/>
              </w:rPr>
              <w:t>2.7%</w:t>
            </w:r>
          </w:p>
        </w:tc>
        <w:tc>
          <w:tcPr>
            <w:tcW w:w="1680" w:type="dxa"/>
            <w:tcBorders>
              <w:top w:val="single" w:sz="4" w:space="0" w:color="BBBBBB"/>
              <w:left w:val="single" w:sz="4" w:space="0" w:color="BBBBBB"/>
              <w:bottom w:val="single" w:sz="4" w:space="0" w:color="BBBBBB"/>
              <w:right w:val="single" w:sz="4" w:space="0" w:color="BBBBBB"/>
            </w:tcBorders>
            <w:shd w:val="clear" w:color="auto" w:fill="F2F2F2"/>
            <w:tcMar>
              <w:top w:w="60" w:type="dxa"/>
              <w:left w:w="120" w:type="dxa"/>
              <w:bottom w:w="60" w:type="dxa"/>
              <w:right w:w="120" w:type="dxa"/>
            </w:tcMar>
          </w:tcPr>
          <w:p w14:paraId="4674EA6A" w14:textId="77777777" w:rsidR="009157D7" w:rsidRDefault="009157D7" w:rsidP="006C151B">
            <w:pPr>
              <w:jc w:val="right"/>
            </w:pPr>
            <w:r>
              <w:rPr>
                <w:rFonts w:ascii="Arial" w:eastAsia="Arial" w:hAnsi="Arial" w:cs="Arial"/>
                <w:color w:val="000000"/>
                <w:sz w:val="17"/>
                <w:szCs w:val="17"/>
              </w:rPr>
              <w:t>3.5%</w:t>
            </w:r>
          </w:p>
        </w:tc>
      </w:tr>
      <w:tr w:rsidR="009157D7" w14:paraId="2FED0C5D" w14:textId="77777777" w:rsidTr="006C151B">
        <w:tc>
          <w:tcPr>
            <w:tcW w:w="36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14:paraId="70C3D0B8" w14:textId="77777777" w:rsidR="009157D7" w:rsidRDefault="009157D7" w:rsidP="006C151B">
            <w:r>
              <w:rPr>
                <w:rFonts w:ascii="Arial" w:eastAsia="Arial" w:hAnsi="Arial" w:cs="Arial"/>
                <w:b/>
                <w:bCs/>
                <w:sz w:val="17"/>
                <w:szCs w:val="17"/>
              </w:rPr>
              <w:t>Wholesale Trade</w:t>
            </w:r>
          </w:p>
        </w:tc>
        <w:tc>
          <w:tcPr>
            <w:tcW w:w="168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14:paraId="232B060D" w14:textId="77777777" w:rsidR="009157D7" w:rsidRDefault="009157D7" w:rsidP="006C151B">
            <w:pPr>
              <w:jc w:val="right"/>
            </w:pPr>
            <w:r>
              <w:rPr>
                <w:rFonts w:ascii="Arial" w:eastAsia="Arial" w:hAnsi="Arial" w:cs="Arial"/>
                <w:color w:val="000000"/>
                <w:sz w:val="17"/>
                <w:szCs w:val="17"/>
              </w:rPr>
              <w:t>13.7%</w:t>
            </w:r>
          </w:p>
        </w:tc>
        <w:tc>
          <w:tcPr>
            <w:tcW w:w="168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14:paraId="4493E715" w14:textId="77777777" w:rsidR="009157D7" w:rsidRDefault="009157D7" w:rsidP="006C151B">
            <w:pPr>
              <w:jc w:val="right"/>
            </w:pPr>
            <w:r>
              <w:rPr>
                <w:rFonts w:ascii="Arial" w:eastAsia="Arial" w:hAnsi="Arial" w:cs="Arial"/>
                <w:color w:val="000000"/>
                <w:sz w:val="17"/>
                <w:szCs w:val="17"/>
              </w:rPr>
              <w:t>6.9%</w:t>
            </w:r>
          </w:p>
        </w:tc>
        <w:tc>
          <w:tcPr>
            <w:tcW w:w="168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14:paraId="7914D99B" w14:textId="77777777" w:rsidR="009157D7" w:rsidRDefault="009157D7" w:rsidP="006C151B">
            <w:pPr>
              <w:jc w:val="right"/>
            </w:pPr>
            <w:r>
              <w:rPr>
                <w:rFonts w:ascii="Arial" w:eastAsia="Arial" w:hAnsi="Arial" w:cs="Arial"/>
                <w:color w:val="000000"/>
                <w:sz w:val="17"/>
                <w:szCs w:val="17"/>
              </w:rPr>
              <w:t>3.9%</w:t>
            </w:r>
          </w:p>
        </w:tc>
      </w:tr>
    </w:tbl>
    <w:p w14:paraId="1C5FD02A" w14:textId="77777777" w:rsidR="00F33F20" w:rsidRDefault="00F33F20" w:rsidP="00F33F20"/>
    <w:p w14:paraId="233C0CC6" w14:textId="13647457" w:rsidR="005B548C" w:rsidRDefault="005B548C" w:rsidP="00B83D91">
      <w:pPr>
        <w:pStyle w:val="Heading3"/>
      </w:pPr>
      <w:r>
        <w:t>Low wage</w:t>
      </w:r>
    </w:p>
    <w:p w14:paraId="175DD0A6" w14:textId="230E450C" w:rsidR="00B83D91" w:rsidRDefault="00B83D91" w:rsidP="00B83D91">
      <w:pPr>
        <w:pStyle w:val="Heading4"/>
      </w:pPr>
      <w:r>
        <w:t>Rural TN</w:t>
      </w:r>
    </w:p>
    <w:p w14:paraId="2FA38AE4" w14:textId="30FA8F72" w:rsidR="00B83D91" w:rsidRDefault="00B83D91" w:rsidP="00F33F20">
      <w:r>
        <w:t xml:space="preserve">Several sectors in rural Tennessee exhibit low-wage </w:t>
      </w:r>
      <w:proofErr w:type="spellStart"/>
      <w:r>
        <w:t>strandedness</w:t>
      </w:r>
      <w:proofErr w:type="spellEnd"/>
      <w:r>
        <w:t xml:space="preserve"> rates that substantially exceed their state-level averages. Arts, entertainment, and recreation </w:t>
      </w:r>
      <w:proofErr w:type="gramStart"/>
      <w:r>
        <w:t>stands</w:t>
      </w:r>
      <w:proofErr w:type="gramEnd"/>
      <w:r>
        <w:t xml:space="preserve"> out most acutely: 52.4% of rural workers in this sector are low-wage — nearly double the national-level pattern for that sector — reflecting a combination of seasonality, part-time work, and the absence of anchor employers that can sustain higher wages in dispersed rural markets. Real estate and rental/leasing is similarly elevated at 40.6%, and retail trade at 34.6%. Healthcare (28.5%) and education (27.6%) in rural areas also show </w:t>
      </w:r>
      <w:proofErr w:type="spellStart"/>
      <w:r>
        <w:t>strandedness</w:t>
      </w:r>
      <w:proofErr w:type="spellEnd"/>
      <w:r>
        <w:t xml:space="preserve"> rates that exceed statewide norms, particularly notable given that both sectors are often treated as anchor employers for stable wages in rural economies.</w:t>
      </w:r>
    </w:p>
    <w:p w14:paraId="2566BA41" w14:textId="77777777" w:rsidR="00B83D91" w:rsidRDefault="00B83D91" w:rsidP="00F33F20"/>
    <w:p w14:paraId="44E2B967" w14:textId="1A899856" w:rsidR="00B83D91" w:rsidRDefault="00B83D91" w:rsidP="00B83D91">
      <w:pPr>
        <w:pStyle w:val="Heading4"/>
      </w:pPr>
      <w:r>
        <w:t>Memphis</w:t>
      </w:r>
    </w:p>
    <w:p w14:paraId="0F3EE9C1" w14:textId="69AFF0BA" w:rsidR="00B83D91" w:rsidRDefault="00B83D91" w:rsidP="00F33F20">
      <w:r>
        <w:t xml:space="preserve">Memphis shows elevated low-wage rates across several sectors that perform better elsewhere in the state. Administrative and support services is the sharpest case: 46.0% low-wage in Memphis against a statewide sector average of 33.4%, a gap of more than 12 percentage points. Wholesale trade (34.6%) and construction (26.6%) are also markedly higher in Memphis than in Nashville or the state overall. Transportation and </w:t>
      </w:r>
      <w:r>
        <w:lastRenderedPageBreak/>
        <w:t>warehousing — a sector Memphis might be expected to lead given its logistics dominance — shows a 24.1% low-wage rate, above Nashville despite the concentration of large logistics employers, pointing to wage floor suppression even in sectors where Memphis has genuine economic strength.</w:t>
      </w:r>
    </w:p>
    <w:p w14:paraId="132ED810" w14:textId="77777777" w:rsidR="00B83D91" w:rsidRDefault="00B83D91" w:rsidP="00F33F20"/>
    <w:p w14:paraId="7A3BF90B" w14:textId="2AC816DF" w:rsidR="00B83D91" w:rsidRDefault="00B83D91" w:rsidP="00B83D91">
      <w:pPr>
        <w:pStyle w:val="Heading4"/>
      </w:pPr>
      <w:r>
        <w:t>Knoxville</w:t>
      </w:r>
    </w:p>
    <w:p w14:paraId="0E8EA35C" w14:textId="29823263" w:rsidR="00B83D91" w:rsidRDefault="00B83D91" w:rsidP="00F33F20">
      <w:r>
        <w:t>The low-wage rate for accommodation and food services workers in Knoxville is 70.6% — the highest of any sector-MSA combination in the dataset, and 22 percentage points above Memphis (48.2%) and 32 points above Nashville (38.8%) for the same sector. Nearly three-quarters of workers in Knoxville's hospitality and food sector earn below a living wage, suggesting that despite the university-city tourism economy, Knoxville has not developed the same wage floor in this sector as larger metropolitan markets.</w:t>
      </w:r>
    </w:p>
    <w:p w14:paraId="24EFA1FE" w14:textId="77777777" w:rsidR="005B548C" w:rsidRDefault="005B548C" w:rsidP="005B548C"/>
    <w:p w14:paraId="61C8FFB7" w14:textId="6C6553F6" w:rsidR="00B83D91" w:rsidRDefault="00B83D91" w:rsidP="00B83D91">
      <w:pPr>
        <w:pStyle w:val="Heading3"/>
      </w:pPr>
      <w:r>
        <w:t>Underemployed</w:t>
      </w:r>
    </w:p>
    <w:p w14:paraId="5BD7435A" w14:textId="7BCA905D" w:rsidR="00B83D91" w:rsidRDefault="00B83D91" w:rsidP="00B83D91">
      <w:pPr>
        <w:pStyle w:val="Heading4"/>
      </w:pPr>
      <w:r>
        <w:t>Chattanooga</w:t>
      </w:r>
    </w:p>
    <w:p w14:paraId="6A8CCEF0" w14:textId="0430BB94" w:rsidR="00B83D91" w:rsidRDefault="00B83D91" w:rsidP="00B83D91">
      <w:r>
        <w:t xml:space="preserve">Underemployment in accommodation and food services in Chattanooga reaches 16.7%, broadly in line with Memphis (13.5%) but below Nashville (21.9%), which posts the highest underemployment rate of any MSA for that sector. Across other Chattanooga sectors, underemployment is generally modest — wholesale trade (4.6%) and transportation and warehousing (2.8%) both sit close to or below their state averages. </w:t>
      </w:r>
      <w:proofErr w:type="spellStart"/>
      <w:r>
        <w:t>Strandedness</w:t>
      </w:r>
      <w:proofErr w:type="spellEnd"/>
      <w:r>
        <w:t xml:space="preserve"> in Chattanooga is therefore driven primarily by wage levels rather than qualification mismatch.</w:t>
      </w:r>
    </w:p>
    <w:p w14:paraId="19C0F678" w14:textId="77777777" w:rsidR="00B83D91" w:rsidRDefault="00B83D91" w:rsidP="00B83D91"/>
    <w:p w14:paraId="3CB2AD2D" w14:textId="3A221CF7" w:rsidR="00B83D91" w:rsidRDefault="00B83D91" w:rsidP="00B83D91">
      <w:pPr>
        <w:pStyle w:val="Heading4"/>
      </w:pPr>
      <w:r>
        <w:t>Knoxville</w:t>
      </w:r>
    </w:p>
    <w:p w14:paraId="16B9434C" w14:textId="66F9D2A2" w:rsidR="00B83D91" w:rsidRDefault="00B83D91" w:rsidP="00B83D91">
      <w:r>
        <w:t>Knoxville's retail sector has an 11.3% underemployment rate, above the statewide retail figure of 7.0%, but the more striking finding is utilities: 10.9% underemployment in Knoxville against a statewide sector average of 2.7%. Utilities is normally a low-</w:t>
      </w:r>
      <w:proofErr w:type="spellStart"/>
      <w:r>
        <w:t>strandedness</w:t>
      </w:r>
      <w:proofErr w:type="spellEnd"/>
      <w:r>
        <w:t xml:space="preserve"> sector, which makes the Knoxville figure particularly anomalous. This may reflect a specific skills mismatch at TVA or other Knoxville-area utilities employers, or a broader pattern of over-qualified workers taking available technical positions in the absence of appropriate alternatives.</w:t>
      </w:r>
    </w:p>
    <w:p w14:paraId="223DE71F" w14:textId="77777777" w:rsidR="00B83D91" w:rsidRDefault="00B83D91" w:rsidP="00B83D91"/>
    <w:p w14:paraId="1418D212" w14:textId="42848FA3" w:rsidR="00B83D91" w:rsidRDefault="00B83D91" w:rsidP="00B83D91">
      <w:pPr>
        <w:pStyle w:val="Heading4"/>
      </w:pPr>
      <w:r>
        <w:t>Memphis</w:t>
      </w:r>
    </w:p>
    <w:p w14:paraId="484C8273" w14:textId="26695933" w:rsidR="00B83D91" w:rsidRDefault="00B83D91" w:rsidP="00B83D91">
      <w:r>
        <w:t xml:space="preserve">Memphis's information sector has a 19.9% underemployment rate — the highest of any MSA for that sector, and more than five times Nashville's rate for information. Manufacturing underemployment (7.3%) is also above the statewide average. Together </w:t>
      </w:r>
      <w:r>
        <w:lastRenderedPageBreak/>
        <w:t>these figures suggest Memphis retains graduate-credentialled workers who take available positions in technical and production sectors rather than accessing roles commensurate with their qualifications — consistent with the broader picture of credential mismatch already visible in the master's degree data.</w:t>
      </w:r>
    </w:p>
    <w:p w14:paraId="70167E99" w14:textId="77777777" w:rsidR="00F3249F" w:rsidRDefault="00F3249F" w:rsidP="00B83D91"/>
    <w:p w14:paraId="67326483" w14:textId="5759FF20" w:rsidR="00F3249F" w:rsidRPr="00B83D91" w:rsidRDefault="00F3249F" w:rsidP="00F3249F">
      <w:pPr>
        <w:pStyle w:val="Heading4"/>
      </w:pPr>
      <w:r>
        <w:t>Rural TN</w:t>
      </w:r>
    </w:p>
    <w:p w14:paraId="4E8F2A0E" w14:textId="123525F3" w:rsidR="005B548C" w:rsidRDefault="00F3249F" w:rsidP="00F3249F">
      <w:r>
        <w:t>Three rural sectors show particularly acute underemployment. Arts, entertainment, and recreation (21.4%) is among the highest underemployment rates of any sector-MSA combination in the dataset — almost three times Chattanooga's 7.9% for the same sector. Information (14.6%) and real estate and rental/leasing (11.0%) are similarly elevated. These figures reflect a population of degree-holding workers in rural Tennessee who have taken whatever positions are available locally, often well below their qualification levels. The information sector result is particularly notable given that information roles are frequently cited as a vehicle for rural economic development; the data suggests that rural information-sector employment, where it exists, is not currently capturing the productivity value of the workforce it employs.</w:t>
      </w:r>
    </w:p>
    <w:p w14:paraId="43D00D25" w14:textId="77777777" w:rsidR="005B548C" w:rsidRDefault="005B548C" w:rsidP="005B548C"/>
    <w:p w14:paraId="58DCFA0C" w14:textId="1BFD84CA" w:rsidR="005B548C" w:rsidRDefault="005B548C" w:rsidP="00F3249F">
      <w:pPr>
        <w:pStyle w:val="Heading3"/>
      </w:pPr>
      <w:r>
        <w:t>Stalled</w:t>
      </w:r>
    </w:p>
    <w:p w14:paraId="211FFE08" w14:textId="1637AB11" w:rsidR="00F3249F" w:rsidRDefault="00F3249F" w:rsidP="00F3249F">
      <w:pPr>
        <w:pStyle w:val="Heading4"/>
      </w:pPr>
      <w:r>
        <w:t>Knoxville</w:t>
      </w:r>
    </w:p>
    <w:p w14:paraId="645E72C7" w14:textId="7A6DF898" w:rsidR="00F3249F" w:rsidRDefault="00F3249F" w:rsidP="00F3249F">
      <w:r>
        <w:t xml:space="preserve">Career stalling in Knoxville sits at 3.6% overall — close to the statewide picture (in which rates fall in a narrow 3.2–3.8% band across MSAs). Within Knoxville, stalling is highest in public administration (5.0%), information (4.6%), manufacturing (4.5%), and construction (4.4%), while accommodation and food services (1.6%) and retail (2.4%) are amongst the lowest. The narrowness of the inter-MSA range suggests that career stalling, unlike wage </w:t>
      </w:r>
      <w:proofErr w:type="spellStart"/>
      <w:r>
        <w:t>strandedness</w:t>
      </w:r>
      <w:proofErr w:type="spellEnd"/>
      <w:r>
        <w:t xml:space="preserve">, is largely a sector-level rather than place-level phenomenon. </w:t>
      </w:r>
    </w:p>
    <w:p w14:paraId="6896838D" w14:textId="77777777" w:rsidR="00F3249F" w:rsidRPr="00F3249F" w:rsidRDefault="00F3249F" w:rsidP="00F3249F"/>
    <w:p w14:paraId="7330AAF5" w14:textId="77777777" w:rsidR="00704D16" w:rsidRDefault="00704D16">
      <w:pPr>
        <w:rPr>
          <w:rFonts w:asciiTheme="majorHAnsi" w:eastAsiaTheme="majorEastAsia" w:hAnsiTheme="majorHAnsi" w:cstheme="majorBidi"/>
          <w:color w:val="0F4761" w:themeColor="accent1" w:themeShade="BF"/>
          <w:sz w:val="40"/>
          <w:szCs w:val="40"/>
        </w:rPr>
      </w:pPr>
      <w:r>
        <w:br w:type="page"/>
      </w:r>
    </w:p>
    <w:p w14:paraId="36476817" w14:textId="4C40F62B" w:rsidR="00496F61" w:rsidRDefault="00F33F20" w:rsidP="00704D16">
      <w:pPr>
        <w:pStyle w:val="Heading1"/>
      </w:pPr>
      <w:r>
        <w:lastRenderedPageBreak/>
        <w:t>Common pathways</w:t>
      </w:r>
    </w:p>
    <w:p w14:paraId="6C710608" w14:textId="77777777" w:rsidR="00496F61" w:rsidRDefault="00496F61" w:rsidP="00496F61">
      <w:pPr>
        <w:spacing w:after="140"/>
        <w:jc w:val="both"/>
      </w:pPr>
      <w:proofErr w:type="spellStart"/>
      <w:r>
        <w:t>Strandedness</w:t>
      </w:r>
      <w:proofErr w:type="spellEnd"/>
      <w:r>
        <w:t>, on its own, only tells us where workers are stuck. To suggest interventions, we also need to know where stranded workers could plausibly move to. This section presents a typology of those pathways — groups of occupation-to-occupation moves that take a worker from a more-stranded origin into a less-stranded destination, with higher pay.</w:t>
      </w:r>
    </w:p>
    <w:p w14:paraId="2DFEC443" w14:textId="438FD9F7" w:rsidR="008D1B09" w:rsidRDefault="008D1B09" w:rsidP="008D1B09">
      <w:pPr>
        <w:spacing w:after="140"/>
        <w:jc w:val="both"/>
      </w:pPr>
      <w:r>
        <w:t>Transitions are based on a combination of observed workforce flows and high occupation-similarity matches based on the tasks and skills involved. They are classified into seven types based on the relevant occupational categories, sectoral movements involved, and skill and credential patterns identified.</w:t>
      </w:r>
    </w:p>
    <w:p w14:paraId="0E866FAE" w14:textId="77777777" w:rsidR="00704D16" w:rsidRDefault="00704D16" w:rsidP="008D1B09">
      <w:pPr>
        <w:spacing w:after="140"/>
        <w:jc w:val="both"/>
      </w:pPr>
    </w:p>
    <w:p w14:paraId="63F84AF7" w14:textId="4BD40D00" w:rsidR="00496F61" w:rsidRPr="00DE2DEE" w:rsidRDefault="00DE2DEE" w:rsidP="00DE2DEE">
      <w:pPr>
        <w:rPr>
          <w:b/>
          <w:bCs/>
        </w:rPr>
      </w:pPr>
      <w:r>
        <w:rPr>
          <w:b/>
          <w:bCs/>
        </w:rPr>
        <w:t>Figure X. Typology summary</w:t>
      </w:r>
    </w:p>
    <w:tbl>
      <w:tblPr>
        <w:tblStyle w:val="GridTable5Dark-Accent2"/>
        <w:tblW w:w="9003" w:type="dxa"/>
        <w:tblLook w:val="04A0" w:firstRow="1" w:lastRow="0" w:firstColumn="1" w:lastColumn="0" w:noHBand="0" w:noVBand="1"/>
      </w:tblPr>
      <w:tblGrid>
        <w:gridCol w:w="2540"/>
        <w:gridCol w:w="1393"/>
        <w:gridCol w:w="1629"/>
        <w:gridCol w:w="1516"/>
        <w:gridCol w:w="1925"/>
      </w:tblGrid>
      <w:tr w:rsidR="00DE2DEE" w14:paraId="5BD3AD77" w14:textId="77777777" w:rsidTr="00DE2DEE">
        <w:trPr>
          <w:cnfStyle w:val="100000000000" w:firstRow="1" w:lastRow="0" w:firstColumn="0" w:lastColumn="0" w:oddVBand="0" w:evenVBand="0" w:oddHBand="0" w:evenHBand="0" w:firstRowFirstColumn="0" w:firstRowLastColumn="0" w:lastRowFirstColumn="0" w:lastRowLastColumn="0"/>
          <w:trHeight w:val="593"/>
        </w:trPr>
        <w:tc>
          <w:tcPr>
            <w:cnfStyle w:val="001000000000" w:firstRow="0" w:lastRow="0" w:firstColumn="1" w:lastColumn="0" w:oddVBand="0" w:evenVBand="0" w:oddHBand="0" w:evenHBand="0" w:firstRowFirstColumn="0" w:firstRowLastColumn="0" w:lastRowFirstColumn="0" w:lastRowLastColumn="0"/>
            <w:tcW w:w="2579" w:type="dxa"/>
          </w:tcPr>
          <w:p w14:paraId="665A0D6F" w14:textId="77777777" w:rsidR="00DE2DEE" w:rsidRPr="00DE2DEE" w:rsidRDefault="00DE2DEE" w:rsidP="006C151B">
            <w:pPr>
              <w:jc w:val="center"/>
            </w:pPr>
            <w:r>
              <w:rPr>
                <w:rFonts w:eastAsia="Arial" w:cs="Arial"/>
                <w:color w:val="FFFFFF"/>
              </w:rPr>
              <w:t>Type</w:t>
            </w:r>
          </w:p>
        </w:tc>
        <w:tc>
          <w:tcPr>
            <w:tcW w:w="1297" w:type="dxa"/>
          </w:tcPr>
          <w:p w14:paraId="6125166D" w14:textId="54E0CB77" w:rsidR="00DE2DEE" w:rsidRPr="00DE2DEE" w:rsidRDefault="00DE2DEE" w:rsidP="006C151B">
            <w:pPr>
              <w:jc w:val="center"/>
              <w:cnfStyle w:val="100000000000" w:firstRow="1" w:lastRow="0" w:firstColumn="0" w:lastColumn="0" w:oddVBand="0" w:evenVBand="0" w:oddHBand="0" w:evenHBand="0" w:firstRowFirstColumn="0" w:firstRowLastColumn="0" w:lastRowFirstColumn="0" w:lastRowLastColumn="0"/>
            </w:pPr>
            <w:r>
              <w:rPr>
                <w:rFonts w:eastAsia="Arial" w:cs="Arial"/>
                <w:color w:val="FFFFFF"/>
              </w:rPr>
              <w:t>% Total transitions</w:t>
            </w:r>
          </w:p>
        </w:tc>
        <w:tc>
          <w:tcPr>
            <w:tcW w:w="1653" w:type="dxa"/>
          </w:tcPr>
          <w:p w14:paraId="63F66763" w14:textId="77777777" w:rsidR="00DE2DEE" w:rsidRPr="00DE2DEE" w:rsidRDefault="00DE2DEE" w:rsidP="006C151B">
            <w:pPr>
              <w:jc w:val="center"/>
              <w:cnfStyle w:val="100000000000" w:firstRow="1" w:lastRow="0" w:firstColumn="0" w:lastColumn="0" w:oddVBand="0" w:evenVBand="0" w:oddHBand="0" w:evenHBand="0" w:firstRowFirstColumn="0" w:firstRowLastColumn="0" w:lastRowFirstColumn="0" w:lastRowLastColumn="0"/>
            </w:pPr>
            <w:r>
              <w:rPr>
                <w:rFonts w:eastAsia="Arial" w:cs="Arial"/>
                <w:color w:val="FFFFFF"/>
              </w:rPr>
              <w:t>% TN Workers</w:t>
            </w:r>
          </w:p>
        </w:tc>
        <w:tc>
          <w:tcPr>
            <w:tcW w:w="1539" w:type="dxa"/>
          </w:tcPr>
          <w:p w14:paraId="7EE92D75" w14:textId="77777777" w:rsidR="00DE2DEE" w:rsidRPr="00DE2DEE" w:rsidRDefault="00DE2DEE" w:rsidP="006C151B">
            <w:pPr>
              <w:jc w:val="center"/>
              <w:cnfStyle w:val="100000000000" w:firstRow="1" w:lastRow="0" w:firstColumn="0" w:lastColumn="0" w:oddVBand="0" w:evenVBand="0" w:oddHBand="0" w:evenHBand="0" w:firstRowFirstColumn="0" w:firstRowLastColumn="0" w:lastRowFirstColumn="0" w:lastRowLastColumn="0"/>
            </w:pPr>
            <w:proofErr w:type="spellStart"/>
            <w:r>
              <w:rPr>
                <w:rFonts w:eastAsia="Arial" w:cs="Arial"/>
                <w:color w:val="FFFFFF"/>
              </w:rPr>
              <w:t>Avg</w:t>
            </w:r>
            <w:proofErr w:type="spellEnd"/>
            <w:r>
              <w:rPr>
                <w:rFonts w:eastAsia="Arial" w:cs="Arial"/>
                <w:color w:val="FFFFFF"/>
              </w:rPr>
              <w:t xml:space="preserve"> Wage Gain</w:t>
            </w:r>
          </w:p>
        </w:tc>
        <w:tc>
          <w:tcPr>
            <w:tcW w:w="1935" w:type="dxa"/>
          </w:tcPr>
          <w:p w14:paraId="5281E24E" w14:textId="244C302B" w:rsidR="00DE2DEE" w:rsidRPr="00DE2DEE" w:rsidRDefault="00DE2DEE" w:rsidP="006C151B">
            <w:pPr>
              <w:jc w:val="center"/>
              <w:cnfStyle w:val="100000000000" w:firstRow="1" w:lastRow="0" w:firstColumn="0" w:lastColumn="0" w:oddVBand="0" w:evenVBand="0" w:oddHBand="0" w:evenHBand="0" w:firstRowFirstColumn="0" w:firstRowLastColumn="0" w:lastRowFirstColumn="0" w:lastRowLastColumn="0"/>
            </w:pPr>
            <w:proofErr w:type="spellStart"/>
            <w:r>
              <w:rPr>
                <w:rFonts w:eastAsia="Arial" w:cs="Arial"/>
                <w:color w:val="FFFFFF"/>
              </w:rPr>
              <w:t>Avg</w:t>
            </w:r>
            <w:proofErr w:type="spellEnd"/>
            <w:r>
              <w:rPr>
                <w:rFonts w:eastAsia="Arial" w:cs="Arial"/>
                <w:color w:val="FFFFFF"/>
              </w:rPr>
              <w:t xml:space="preserve"> </w:t>
            </w:r>
            <w:proofErr w:type="spellStart"/>
            <w:r>
              <w:rPr>
                <w:rFonts w:eastAsia="Arial" w:cs="Arial"/>
                <w:color w:val="FFFFFF"/>
              </w:rPr>
              <w:t>Strandedness</w:t>
            </w:r>
            <w:proofErr w:type="spellEnd"/>
            <w:r>
              <w:rPr>
                <w:rFonts w:eastAsia="Arial" w:cs="Arial"/>
                <w:color w:val="FFFFFF"/>
              </w:rPr>
              <w:t xml:space="preserve"> Reduction</w:t>
            </w:r>
          </w:p>
        </w:tc>
      </w:tr>
      <w:tr w:rsidR="00DE2DEE" w14:paraId="5645B7F6" w14:textId="77777777" w:rsidTr="00DE2DEE">
        <w:trPr>
          <w:cnfStyle w:val="000000100000" w:firstRow="0" w:lastRow="0" w:firstColumn="0" w:lastColumn="0" w:oddVBand="0" w:evenVBand="0" w:oddHBand="1" w:evenHBand="0" w:firstRowFirstColumn="0" w:firstRowLastColumn="0" w:lastRowFirstColumn="0" w:lastRowLastColumn="0"/>
          <w:trHeight w:val="372"/>
        </w:trPr>
        <w:tc>
          <w:tcPr>
            <w:cnfStyle w:val="001000000000" w:firstRow="0" w:lastRow="0" w:firstColumn="1" w:lastColumn="0" w:oddVBand="0" w:evenVBand="0" w:oddHBand="0" w:evenHBand="0" w:firstRowFirstColumn="0" w:firstRowLastColumn="0" w:lastRowFirstColumn="0" w:lastRowLastColumn="0"/>
            <w:tcW w:w="2579" w:type="dxa"/>
          </w:tcPr>
          <w:p w14:paraId="77E3F7A5" w14:textId="77777777" w:rsidR="00DE2DEE" w:rsidRPr="00DE2DEE" w:rsidRDefault="00DE2DEE" w:rsidP="006C151B">
            <w:r>
              <w:rPr>
                <w:rFonts w:eastAsia="Arial" w:cs="Arial"/>
                <w:color w:val="000000"/>
              </w:rPr>
              <w:t>Healthcare Ladder</w:t>
            </w:r>
          </w:p>
        </w:tc>
        <w:tc>
          <w:tcPr>
            <w:tcW w:w="1297" w:type="dxa"/>
          </w:tcPr>
          <w:p w14:paraId="4933C431" w14:textId="77777777" w:rsidR="00DE2DEE" w:rsidRPr="00DE2DEE" w:rsidRDefault="00DE2DEE" w:rsidP="006C151B">
            <w:pPr>
              <w:jc w:val="right"/>
              <w:cnfStyle w:val="000000100000" w:firstRow="0" w:lastRow="0" w:firstColumn="0" w:lastColumn="0" w:oddVBand="0" w:evenVBand="0" w:oddHBand="1" w:evenHBand="0" w:firstRowFirstColumn="0" w:firstRowLastColumn="0" w:lastRowFirstColumn="0" w:lastRowLastColumn="0"/>
            </w:pPr>
            <w:r>
              <w:rPr>
                <w:rFonts w:eastAsia="Arial" w:cs="Arial"/>
                <w:color w:val="000000"/>
              </w:rPr>
              <w:t>6.6%</w:t>
            </w:r>
          </w:p>
        </w:tc>
        <w:tc>
          <w:tcPr>
            <w:tcW w:w="1653" w:type="dxa"/>
          </w:tcPr>
          <w:p w14:paraId="4754B474" w14:textId="77777777" w:rsidR="00DE2DEE" w:rsidRPr="00DE2DEE" w:rsidRDefault="00DE2DEE" w:rsidP="006C151B">
            <w:pPr>
              <w:jc w:val="right"/>
              <w:cnfStyle w:val="000000100000" w:firstRow="0" w:lastRow="0" w:firstColumn="0" w:lastColumn="0" w:oddVBand="0" w:evenVBand="0" w:oddHBand="1" w:evenHBand="0" w:firstRowFirstColumn="0" w:firstRowLastColumn="0" w:lastRowFirstColumn="0" w:lastRowLastColumn="0"/>
            </w:pPr>
            <w:r>
              <w:rPr>
                <w:rFonts w:eastAsia="Arial" w:cs="Arial"/>
                <w:color w:val="000000"/>
              </w:rPr>
              <w:t>13.1%</w:t>
            </w:r>
          </w:p>
        </w:tc>
        <w:tc>
          <w:tcPr>
            <w:tcW w:w="1539" w:type="dxa"/>
          </w:tcPr>
          <w:p w14:paraId="179B9BDD" w14:textId="77777777" w:rsidR="00DE2DEE" w:rsidRPr="00DE2DEE" w:rsidRDefault="00DE2DEE" w:rsidP="006C151B">
            <w:pPr>
              <w:jc w:val="right"/>
              <w:cnfStyle w:val="000000100000" w:firstRow="0" w:lastRow="0" w:firstColumn="0" w:lastColumn="0" w:oddVBand="0" w:evenVBand="0" w:oddHBand="1" w:evenHBand="0" w:firstRowFirstColumn="0" w:firstRowLastColumn="0" w:lastRowFirstColumn="0" w:lastRowLastColumn="0"/>
            </w:pPr>
            <w:r>
              <w:rPr>
                <w:rFonts w:eastAsia="Arial" w:cs="Arial"/>
                <w:color w:val="000000"/>
              </w:rPr>
              <w:t>$54,797</w:t>
            </w:r>
          </w:p>
        </w:tc>
        <w:tc>
          <w:tcPr>
            <w:tcW w:w="1935" w:type="dxa"/>
          </w:tcPr>
          <w:p w14:paraId="47B718F8" w14:textId="77777777" w:rsidR="00DE2DEE" w:rsidRPr="00DE2DEE" w:rsidRDefault="00DE2DEE" w:rsidP="006C151B">
            <w:pPr>
              <w:jc w:val="right"/>
              <w:cnfStyle w:val="000000100000" w:firstRow="0" w:lastRow="0" w:firstColumn="0" w:lastColumn="0" w:oddVBand="0" w:evenVBand="0" w:oddHBand="1" w:evenHBand="0" w:firstRowFirstColumn="0" w:firstRowLastColumn="0" w:lastRowFirstColumn="0" w:lastRowLastColumn="0"/>
            </w:pPr>
            <w:r>
              <w:rPr>
                <w:rFonts w:eastAsia="Arial" w:cs="Arial"/>
                <w:color w:val="000000"/>
              </w:rPr>
              <w:t>17.5%</w:t>
            </w:r>
          </w:p>
        </w:tc>
      </w:tr>
      <w:tr w:rsidR="00DE2DEE" w14:paraId="52B4555A" w14:textId="77777777" w:rsidTr="00DE2DEE">
        <w:trPr>
          <w:trHeight w:val="389"/>
        </w:trPr>
        <w:tc>
          <w:tcPr>
            <w:cnfStyle w:val="001000000000" w:firstRow="0" w:lastRow="0" w:firstColumn="1" w:lastColumn="0" w:oddVBand="0" w:evenVBand="0" w:oddHBand="0" w:evenHBand="0" w:firstRowFirstColumn="0" w:firstRowLastColumn="0" w:lastRowFirstColumn="0" w:lastRowLastColumn="0"/>
            <w:tcW w:w="2579" w:type="dxa"/>
          </w:tcPr>
          <w:p w14:paraId="1C11A253" w14:textId="77777777" w:rsidR="00DE2DEE" w:rsidRPr="00DE2DEE" w:rsidRDefault="00DE2DEE" w:rsidP="006C151B">
            <w:r>
              <w:rPr>
                <w:rFonts w:eastAsia="Arial" w:cs="Arial"/>
                <w:color w:val="000000"/>
              </w:rPr>
              <w:t>Technology Pivot</w:t>
            </w:r>
          </w:p>
        </w:tc>
        <w:tc>
          <w:tcPr>
            <w:tcW w:w="1297" w:type="dxa"/>
          </w:tcPr>
          <w:p w14:paraId="1BF34F44" w14:textId="77777777" w:rsidR="00DE2DEE" w:rsidRPr="00DE2DEE" w:rsidRDefault="00DE2DEE" w:rsidP="006C151B">
            <w:pPr>
              <w:jc w:val="right"/>
              <w:cnfStyle w:val="000000000000" w:firstRow="0" w:lastRow="0" w:firstColumn="0" w:lastColumn="0" w:oddVBand="0" w:evenVBand="0" w:oddHBand="0" w:evenHBand="0" w:firstRowFirstColumn="0" w:firstRowLastColumn="0" w:lastRowFirstColumn="0" w:lastRowLastColumn="0"/>
            </w:pPr>
            <w:r>
              <w:rPr>
                <w:rFonts w:eastAsia="Arial" w:cs="Arial"/>
                <w:color w:val="000000"/>
              </w:rPr>
              <w:t>13.8%</w:t>
            </w:r>
          </w:p>
        </w:tc>
        <w:tc>
          <w:tcPr>
            <w:tcW w:w="1653" w:type="dxa"/>
          </w:tcPr>
          <w:p w14:paraId="03755FDF" w14:textId="77777777" w:rsidR="00DE2DEE" w:rsidRPr="00DE2DEE" w:rsidRDefault="00DE2DEE" w:rsidP="006C151B">
            <w:pPr>
              <w:jc w:val="right"/>
              <w:cnfStyle w:val="000000000000" w:firstRow="0" w:lastRow="0" w:firstColumn="0" w:lastColumn="0" w:oddVBand="0" w:evenVBand="0" w:oddHBand="0" w:evenHBand="0" w:firstRowFirstColumn="0" w:firstRowLastColumn="0" w:lastRowFirstColumn="0" w:lastRowLastColumn="0"/>
            </w:pPr>
            <w:r>
              <w:rPr>
                <w:rFonts w:eastAsia="Arial" w:cs="Arial"/>
                <w:color w:val="000000"/>
              </w:rPr>
              <w:t>27.0%</w:t>
            </w:r>
          </w:p>
        </w:tc>
        <w:tc>
          <w:tcPr>
            <w:tcW w:w="1539" w:type="dxa"/>
          </w:tcPr>
          <w:p w14:paraId="48EBAADA" w14:textId="77777777" w:rsidR="00DE2DEE" w:rsidRPr="00DE2DEE" w:rsidRDefault="00DE2DEE" w:rsidP="006C151B">
            <w:pPr>
              <w:jc w:val="right"/>
              <w:cnfStyle w:val="000000000000" w:firstRow="0" w:lastRow="0" w:firstColumn="0" w:lastColumn="0" w:oddVBand="0" w:evenVBand="0" w:oddHBand="0" w:evenHBand="0" w:firstRowFirstColumn="0" w:firstRowLastColumn="0" w:lastRowFirstColumn="0" w:lastRowLastColumn="0"/>
            </w:pPr>
            <w:r>
              <w:rPr>
                <w:rFonts w:eastAsia="Arial" w:cs="Arial"/>
                <w:color w:val="000000"/>
              </w:rPr>
              <w:t>$31,444</w:t>
            </w:r>
          </w:p>
        </w:tc>
        <w:tc>
          <w:tcPr>
            <w:tcW w:w="1935" w:type="dxa"/>
          </w:tcPr>
          <w:p w14:paraId="140659EB" w14:textId="77777777" w:rsidR="00DE2DEE" w:rsidRPr="00DE2DEE" w:rsidRDefault="00DE2DEE" w:rsidP="006C151B">
            <w:pPr>
              <w:jc w:val="right"/>
              <w:cnfStyle w:val="000000000000" w:firstRow="0" w:lastRow="0" w:firstColumn="0" w:lastColumn="0" w:oddVBand="0" w:evenVBand="0" w:oddHBand="0" w:evenHBand="0" w:firstRowFirstColumn="0" w:firstRowLastColumn="0" w:lastRowFirstColumn="0" w:lastRowLastColumn="0"/>
            </w:pPr>
            <w:r>
              <w:rPr>
                <w:rFonts w:eastAsia="Arial" w:cs="Arial"/>
                <w:color w:val="000000"/>
              </w:rPr>
              <w:t>13.5%</w:t>
            </w:r>
          </w:p>
        </w:tc>
      </w:tr>
      <w:tr w:rsidR="00DE2DEE" w14:paraId="5B953E9A" w14:textId="77777777" w:rsidTr="00DE2DEE">
        <w:trPr>
          <w:cnfStyle w:val="000000100000" w:firstRow="0" w:lastRow="0" w:firstColumn="0" w:lastColumn="0" w:oddVBand="0" w:evenVBand="0" w:oddHBand="1" w:evenHBand="0" w:firstRowFirstColumn="0" w:firstRowLastColumn="0" w:lastRowFirstColumn="0" w:lastRowLastColumn="0"/>
          <w:trHeight w:val="593"/>
        </w:trPr>
        <w:tc>
          <w:tcPr>
            <w:cnfStyle w:val="001000000000" w:firstRow="0" w:lastRow="0" w:firstColumn="1" w:lastColumn="0" w:oddVBand="0" w:evenVBand="0" w:oddHBand="0" w:evenHBand="0" w:firstRowFirstColumn="0" w:firstRowLastColumn="0" w:lastRowFirstColumn="0" w:lastRowLastColumn="0"/>
            <w:tcW w:w="2579" w:type="dxa"/>
          </w:tcPr>
          <w:p w14:paraId="595599DF" w14:textId="77777777" w:rsidR="00DE2DEE" w:rsidRPr="00DE2DEE" w:rsidRDefault="00DE2DEE" w:rsidP="006C151B">
            <w:r>
              <w:rPr>
                <w:rFonts w:eastAsia="Arial" w:cs="Arial"/>
                <w:color w:val="000000"/>
              </w:rPr>
              <w:t>Project &amp; Operations Management</w:t>
            </w:r>
          </w:p>
        </w:tc>
        <w:tc>
          <w:tcPr>
            <w:tcW w:w="1297" w:type="dxa"/>
          </w:tcPr>
          <w:p w14:paraId="591E30C2" w14:textId="77777777" w:rsidR="00DE2DEE" w:rsidRPr="00DE2DEE" w:rsidRDefault="00DE2DEE" w:rsidP="006C151B">
            <w:pPr>
              <w:jc w:val="right"/>
              <w:cnfStyle w:val="000000100000" w:firstRow="0" w:lastRow="0" w:firstColumn="0" w:lastColumn="0" w:oddVBand="0" w:evenVBand="0" w:oddHBand="1" w:evenHBand="0" w:firstRowFirstColumn="0" w:firstRowLastColumn="0" w:lastRowFirstColumn="0" w:lastRowLastColumn="0"/>
            </w:pPr>
            <w:r>
              <w:rPr>
                <w:rFonts w:eastAsia="Arial" w:cs="Arial"/>
                <w:color w:val="000000"/>
              </w:rPr>
              <w:t>11.5%</w:t>
            </w:r>
          </w:p>
        </w:tc>
        <w:tc>
          <w:tcPr>
            <w:tcW w:w="1653" w:type="dxa"/>
          </w:tcPr>
          <w:p w14:paraId="16803E24" w14:textId="77777777" w:rsidR="00DE2DEE" w:rsidRPr="00DE2DEE" w:rsidRDefault="00DE2DEE" w:rsidP="006C151B">
            <w:pPr>
              <w:jc w:val="right"/>
              <w:cnfStyle w:val="000000100000" w:firstRow="0" w:lastRow="0" w:firstColumn="0" w:lastColumn="0" w:oddVBand="0" w:evenVBand="0" w:oddHBand="1" w:evenHBand="0" w:firstRowFirstColumn="0" w:firstRowLastColumn="0" w:lastRowFirstColumn="0" w:lastRowLastColumn="0"/>
            </w:pPr>
            <w:r>
              <w:rPr>
                <w:rFonts w:eastAsia="Arial" w:cs="Arial"/>
                <w:color w:val="000000"/>
              </w:rPr>
              <w:t>16.0%</w:t>
            </w:r>
          </w:p>
        </w:tc>
        <w:tc>
          <w:tcPr>
            <w:tcW w:w="1539" w:type="dxa"/>
          </w:tcPr>
          <w:p w14:paraId="50DCA3E0" w14:textId="77777777" w:rsidR="00DE2DEE" w:rsidRPr="00DE2DEE" w:rsidRDefault="00DE2DEE" w:rsidP="006C151B">
            <w:pPr>
              <w:jc w:val="right"/>
              <w:cnfStyle w:val="000000100000" w:firstRow="0" w:lastRow="0" w:firstColumn="0" w:lastColumn="0" w:oddVBand="0" w:evenVBand="0" w:oddHBand="1" w:evenHBand="0" w:firstRowFirstColumn="0" w:firstRowLastColumn="0" w:lastRowFirstColumn="0" w:lastRowLastColumn="0"/>
            </w:pPr>
            <w:r>
              <w:rPr>
                <w:rFonts w:eastAsia="Arial" w:cs="Arial"/>
                <w:color w:val="000000"/>
              </w:rPr>
              <w:t>$30,635</w:t>
            </w:r>
          </w:p>
        </w:tc>
        <w:tc>
          <w:tcPr>
            <w:tcW w:w="1935" w:type="dxa"/>
          </w:tcPr>
          <w:p w14:paraId="3B879614" w14:textId="77777777" w:rsidR="00DE2DEE" w:rsidRPr="00DE2DEE" w:rsidRDefault="00DE2DEE" w:rsidP="006C151B">
            <w:pPr>
              <w:jc w:val="right"/>
              <w:cnfStyle w:val="000000100000" w:firstRow="0" w:lastRow="0" w:firstColumn="0" w:lastColumn="0" w:oddVBand="0" w:evenVBand="0" w:oddHBand="1" w:evenHBand="0" w:firstRowFirstColumn="0" w:firstRowLastColumn="0" w:lastRowFirstColumn="0" w:lastRowLastColumn="0"/>
            </w:pPr>
            <w:r>
              <w:rPr>
                <w:rFonts w:eastAsia="Arial" w:cs="Arial"/>
                <w:color w:val="000000"/>
              </w:rPr>
              <w:t>17.2%</w:t>
            </w:r>
          </w:p>
        </w:tc>
      </w:tr>
      <w:tr w:rsidR="00DE2DEE" w14:paraId="2B174492" w14:textId="77777777" w:rsidTr="00DE2DEE">
        <w:trPr>
          <w:trHeight w:val="593"/>
        </w:trPr>
        <w:tc>
          <w:tcPr>
            <w:cnfStyle w:val="001000000000" w:firstRow="0" w:lastRow="0" w:firstColumn="1" w:lastColumn="0" w:oddVBand="0" w:evenVBand="0" w:oddHBand="0" w:evenHBand="0" w:firstRowFirstColumn="0" w:firstRowLastColumn="0" w:lastRowFirstColumn="0" w:lastRowLastColumn="0"/>
            <w:tcW w:w="2579" w:type="dxa"/>
          </w:tcPr>
          <w:p w14:paraId="27989DD4" w14:textId="77777777" w:rsidR="00DE2DEE" w:rsidRPr="00DE2DEE" w:rsidRDefault="00DE2DEE" w:rsidP="006C151B">
            <w:r>
              <w:rPr>
                <w:rFonts w:eastAsia="Arial" w:cs="Arial"/>
                <w:color w:val="000000"/>
              </w:rPr>
              <w:t>Professional &amp; Financial Services</w:t>
            </w:r>
          </w:p>
        </w:tc>
        <w:tc>
          <w:tcPr>
            <w:tcW w:w="1297" w:type="dxa"/>
          </w:tcPr>
          <w:p w14:paraId="7CB92F13" w14:textId="77777777" w:rsidR="00DE2DEE" w:rsidRPr="00DE2DEE" w:rsidRDefault="00DE2DEE" w:rsidP="006C151B">
            <w:pPr>
              <w:jc w:val="right"/>
              <w:cnfStyle w:val="000000000000" w:firstRow="0" w:lastRow="0" w:firstColumn="0" w:lastColumn="0" w:oddVBand="0" w:evenVBand="0" w:oddHBand="0" w:evenHBand="0" w:firstRowFirstColumn="0" w:firstRowLastColumn="0" w:lastRowFirstColumn="0" w:lastRowLastColumn="0"/>
            </w:pPr>
            <w:r>
              <w:rPr>
                <w:rFonts w:eastAsia="Arial" w:cs="Arial"/>
                <w:color w:val="000000"/>
              </w:rPr>
              <w:t>16.1%</w:t>
            </w:r>
          </w:p>
        </w:tc>
        <w:tc>
          <w:tcPr>
            <w:tcW w:w="1653" w:type="dxa"/>
          </w:tcPr>
          <w:p w14:paraId="728EA5A2" w14:textId="77777777" w:rsidR="00DE2DEE" w:rsidRPr="00DE2DEE" w:rsidRDefault="00DE2DEE" w:rsidP="006C151B">
            <w:pPr>
              <w:jc w:val="right"/>
              <w:cnfStyle w:val="000000000000" w:firstRow="0" w:lastRow="0" w:firstColumn="0" w:lastColumn="0" w:oddVBand="0" w:evenVBand="0" w:oddHBand="0" w:evenHBand="0" w:firstRowFirstColumn="0" w:firstRowLastColumn="0" w:lastRowFirstColumn="0" w:lastRowLastColumn="0"/>
            </w:pPr>
            <w:r>
              <w:rPr>
                <w:rFonts w:eastAsia="Arial" w:cs="Arial"/>
                <w:color w:val="000000"/>
              </w:rPr>
              <w:t>23.9%</w:t>
            </w:r>
          </w:p>
        </w:tc>
        <w:tc>
          <w:tcPr>
            <w:tcW w:w="1539" w:type="dxa"/>
          </w:tcPr>
          <w:p w14:paraId="65753668" w14:textId="77777777" w:rsidR="00DE2DEE" w:rsidRPr="00DE2DEE" w:rsidRDefault="00DE2DEE" w:rsidP="006C151B">
            <w:pPr>
              <w:jc w:val="right"/>
              <w:cnfStyle w:val="000000000000" w:firstRow="0" w:lastRow="0" w:firstColumn="0" w:lastColumn="0" w:oddVBand="0" w:evenVBand="0" w:oddHBand="0" w:evenHBand="0" w:firstRowFirstColumn="0" w:firstRowLastColumn="0" w:lastRowFirstColumn="0" w:lastRowLastColumn="0"/>
            </w:pPr>
            <w:r>
              <w:rPr>
                <w:rFonts w:eastAsia="Arial" w:cs="Arial"/>
                <w:color w:val="000000"/>
              </w:rPr>
              <w:t>$27,821</w:t>
            </w:r>
          </w:p>
        </w:tc>
        <w:tc>
          <w:tcPr>
            <w:tcW w:w="1935" w:type="dxa"/>
          </w:tcPr>
          <w:p w14:paraId="5CB51C9B" w14:textId="77777777" w:rsidR="00DE2DEE" w:rsidRPr="00DE2DEE" w:rsidRDefault="00DE2DEE" w:rsidP="006C151B">
            <w:pPr>
              <w:jc w:val="right"/>
              <w:cnfStyle w:val="000000000000" w:firstRow="0" w:lastRow="0" w:firstColumn="0" w:lastColumn="0" w:oddVBand="0" w:evenVBand="0" w:oddHBand="0" w:evenHBand="0" w:firstRowFirstColumn="0" w:firstRowLastColumn="0" w:lastRowFirstColumn="0" w:lastRowLastColumn="0"/>
            </w:pPr>
            <w:r>
              <w:rPr>
                <w:rFonts w:eastAsia="Arial" w:cs="Arial"/>
                <w:color w:val="000000"/>
              </w:rPr>
              <w:t>19.2%</w:t>
            </w:r>
          </w:p>
        </w:tc>
      </w:tr>
      <w:tr w:rsidR="00DE2DEE" w14:paraId="64762FC8" w14:textId="77777777" w:rsidTr="00DE2DEE">
        <w:trPr>
          <w:cnfStyle w:val="000000100000" w:firstRow="0" w:lastRow="0" w:firstColumn="0" w:lastColumn="0" w:oddVBand="0" w:evenVBand="0" w:oddHBand="1" w:evenHBand="0" w:firstRowFirstColumn="0" w:firstRowLastColumn="0" w:lastRowFirstColumn="0" w:lastRowLastColumn="0"/>
          <w:trHeight w:val="372"/>
        </w:trPr>
        <w:tc>
          <w:tcPr>
            <w:cnfStyle w:val="001000000000" w:firstRow="0" w:lastRow="0" w:firstColumn="1" w:lastColumn="0" w:oddVBand="0" w:evenVBand="0" w:oddHBand="0" w:evenHBand="0" w:firstRowFirstColumn="0" w:firstRowLastColumn="0" w:lastRowFirstColumn="0" w:lastRowLastColumn="0"/>
            <w:tcW w:w="2579" w:type="dxa"/>
          </w:tcPr>
          <w:p w14:paraId="5A066042" w14:textId="77777777" w:rsidR="00DE2DEE" w:rsidRPr="00DE2DEE" w:rsidRDefault="00DE2DEE" w:rsidP="006C151B">
            <w:r>
              <w:rPr>
                <w:rFonts w:eastAsia="Arial" w:cs="Arial"/>
                <w:color w:val="000000"/>
              </w:rPr>
              <w:t>Skilled Trades Advancement</w:t>
            </w:r>
          </w:p>
        </w:tc>
        <w:tc>
          <w:tcPr>
            <w:tcW w:w="1297" w:type="dxa"/>
          </w:tcPr>
          <w:p w14:paraId="57F09A7E" w14:textId="77777777" w:rsidR="00DE2DEE" w:rsidRPr="00DE2DEE" w:rsidRDefault="00DE2DEE" w:rsidP="006C151B">
            <w:pPr>
              <w:jc w:val="right"/>
              <w:cnfStyle w:val="000000100000" w:firstRow="0" w:lastRow="0" w:firstColumn="0" w:lastColumn="0" w:oddVBand="0" w:evenVBand="0" w:oddHBand="1" w:evenHBand="0" w:firstRowFirstColumn="0" w:firstRowLastColumn="0" w:lastRowFirstColumn="0" w:lastRowLastColumn="0"/>
            </w:pPr>
            <w:r>
              <w:rPr>
                <w:rFonts w:eastAsia="Arial" w:cs="Arial"/>
                <w:color w:val="000000"/>
              </w:rPr>
              <w:t>2.9%</w:t>
            </w:r>
          </w:p>
        </w:tc>
        <w:tc>
          <w:tcPr>
            <w:tcW w:w="1653" w:type="dxa"/>
          </w:tcPr>
          <w:p w14:paraId="054104FD" w14:textId="77777777" w:rsidR="00DE2DEE" w:rsidRPr="00DE2DEE" w:rsidRDefault="00DE2DEE" w:rsidP="006C151B">
            <w:pPr>
              <w:jc w:val="right"/>
              <w:cnfStyle w:val="000000100000" w:firstRow="0" w:lastRow="0" w:firstColumn="0" w:lastColumn="0" w:oddVBand="0" w:evenVBand="0" w:oddHBand="1" w:evenHBand="0" w:firstRowFirstColumn="0" w:firstRowLastColumn="0" w:lastRowFirstColumn="0" w:lastRowLastColumn="0"/>
            </w:pPr>
            <w:r>
              <w:rPr>
                <w:rFonts w:eastAsia="Arial" w:cs="Arial"/>
                <w:color w:val="000000"/>
              </w:rPr>
              <w:t>0.3%</w:t>
            </w:r>
          </w:p>
        </w:tc>
        <w:tc>
          <w:tcPr>
            <w:tcW w:w="1539" w:type="dxa"/>
          </w:tcPr>
          <w:p w14:paraId="2A692265" w14:textId="77777777" w:rsidR="00DE2DEE" w:rsidRPr="00DE2DEE" w:rsidRDefault="00DE2DEE" w:rsidP="006C151B">
            <w:pPr>
              <w:jc w:val="right"/>
              <w:cnfStyle w:val="000000100000" w:firstRow="0" w:lastRow="0" w:firstColumn="0" w:lastColumn="0" w:oddVBand="0" w:evenVBand="0" w:oddHBand="1" w:evenHBand="0" w:firstRowFirstColumn="0" w:firstRowLastColumn="0" w:lastRowFirstColumn="0" w:lastRowLastColumn="0"/>
            </w:pPr>
            <w:r>
              <w:rPr>
                <w:rFonts w:eastAsia="Arial" w:cs="Arial"/>
                <w:color w:val="000000"/>
              </w:rPr>
              <w:t>$41,882</w:t>
            </w:r>
          </w:p>
        </w:tc>
        <w:tc>
          <w:tcPr>
            <w:tcW w:w="1935" w:type="dxa"/>
          </w:tcPr>
          <w:p w14:paraId="1E595748" w14:textId="77777777" w:rsidR="00DE2DEE" w:rsidRPr="00DE2DEE" w:rsidRDefault="00DE2DEE" w:rsidP="006C151B">
            <w:pPr>
              <w:jc w:val="right"/>
              <w:cnfStyle w:val="000000100000" w:firstRow="0" w:lastRow="0" w:firstColumn="0" w:lastColumn="0" w:oddVBand="0" w:evenVBand="0" w:oddHBand="1" w:evenHBand="0" w:firstRowFirstColumn="0" w:firstRowLastColumn="0" w:lastRowFirstColumn="0" w:lastRowLastColumn="0"/>
            </w:pPr>
            <w:r>
              <w:rPr>
                <w:rFonts w:eastAsia="Arial" w:cs="Arial"/>
                <w:color w:val="000000"/>
              </w:rPr>
              <w:t>13.6%</w:t>
            </w:r>
          </w:p>
        </w:tc>
      </w:tr>
      <w:tr w:rsidR="00DE2DEE" w14:paraId="699F9A2D" w14:textId="77777777" w:rsidTr="00DE2DEE">
        <w:trPr>
          <w:trHeight w:val="389"/>
        </w:trPr>
        <w:tc>
          <w:tcPr>
            <w:cnfStyle w:val="001000000000" w:firstRow="0" w:lastRow="0" w:firstColumn="1" w:lastColumn="0" w:oddVBand="0" w:evenVBand="0" w:oddHBand="0" w:evenHBand="0" w:firstRowFirstColumn="0" w:firstRowLastColumn="0" w:lastRowFirstColumn="0" w:lastRowLastColumn="0"/>
            <w:tcW w:w="2579" w:type="dxa"/>
          </w:tcPr>
          <w:p w14:paraId="0C994E4A" w14:textId="77777777" w:rsidR="00DE2DEE" w:rsidRPr="00DE2DEE" w:rsidRDefault="00DE2DEE" w:rsidP="006C151B">
            <w:r>
              <w:rPr>
                <w:rFonts w:eastAsia="Arial" w:cs="Arial"/>
                <w:color w:val="000000"/>
              </w:rPr>
              <w:t>Sales &amp; Commercial</w:t>
            </w:r>
          </w:p>
        </w:tc>
        <w:tc>
          <w:tcPr>
            <w:tcW w:w="1297" w:type="dxa"/>
          </w:tcPr>
          <w:p w14:paraId="3E0B8DFA" w14:textId="77777777" w:rsidR="00DE2DEE" w:rsidRPr="00DE2DEE" w:rsidRDefault="00DE2DEE" w:rsidP="006C151B">
            <w:pPr>
              <w:jc w:val="right"/>
              <w:cnfStyle w:val="000000000000" w:firstRow="0" w:lastRow="0" w:firstColumn="0" w:lastColumn="0" w:oddVBand="0" w:evenVBand="0" w:oddHBand="0" w:evenHBand="0" w:firstRowFirstColumn="0" w:firstRowLastColumn="0" w:lastRowFirstColumn="0" w:lastRowLastColumn="0"/>
            </w:pPr>
            <w:r>
              <w:rPr>
                <w:rFonts w:eastAsia="Arial" w:cs="Arial"/>
                <w:color w:val="000000"/>
              </w:rPr>
              <w:t>8.2%</w:t>
            </w:r>
          </w:p>
        </w:tc>
        <w:tc>
          <w:tcPr>
            <w:tcW w:w="1653" w:type="dxa"/>
          </w:tcPr>
          <w:p w14:paraId="6625E9EF" w14:textId="77777777" w:rsidR="00DE2DEE" w:rsidRPr="00DE2DEE" w:rsidRDefault="00DE2DEE" w:rsidP="006C151B">
            <w:pPr>
              <w:jc w:val="right"/>
              <w:cnfStyle w:val="000000000000" w:firstRow="0" w:lastRow="0" w:firstColumn="0" w:lastColumn="0" w:oddVBand="0" w:evenVBand="0" w:oddHBand="0" w:evenHBand="0" w:firstRowFirstColumn="0" w:firstRowLastColumn="0" w:lastRowFirstColumn="0" w:lastRowLastColumn="0"/>
            </w:pPr>
            <w:r>
              <w:rPr>
                <w:rFonts w:eastAsia="Arial" w:cs="Arial"/>
                <w:color w:val="000000"/>
              </w:rPr>
              <w:t>10.6%</w:t>
            </w:r>
          </w:p>
        </w:tc>
        <w:tc>
          <w:tcPr>
            <w:tcW w:w="1539" w:type="dxa"/>
          </w:tcPr>
          <w:p w14:paraId="578C51D6" w14:textId="77777777" w:rsidR="00DE2DEE" w:rsidRPr="00DE2DEE" w:rsidRDefault="00DE2DEE" w:rsidP="006C151B">
            <w:pPr>
              <w:jc w:val="right"/>
              <w:cnfStyle w:val="000000000000" w:firstRow="0" w:lastRow="0" w:firstColumn="0" w:lastColumn="0" w:oddVBand="0" w:evenVBand="0" w:oddHBand="0" w:evenHBand="0" w:firstRowFirstColumn="0" w:firstRowLastColumn="0" w:lastRowFirstColumn="0" w:lastRowLastColumn="0"/>
            </w:pPr>
            <w:r>
              <w:rPr>
                <w:rFonts w:eastAsia="Arial" w:cs="Arial"/>
                <w:color w:val="000000"/>
              </w:rPr>
              <w:t>$22,174</w:t>
            </w:r>
          </w:p>
        </w:tc>
        <w:tc>
          <w:tcPr>
            <w:tcW w:w="1935" w:type="dxa"/>
          </w:tcPr>
          <w:p w14:paraId="3D2C5AAE" w14:textId="77777777" w:rsidR="00DE2DEE" w:rsidRPr="00DE2DEE" w:rsidRDefault="00DE2DEE" w:rsidP="006C151B">
            <w:pPr>
              <w:jc w:val="right"/>
              <w:cnfStyle w:val="000000000000" w:firstRow="0" w:lastRow="0" w:firstColumn="0" w:lastColumn="0" w:oddVBand="0" w:evenVBand="0" w:oddHBand="0" w:evenHBand="0" w:firstRowFirstColumn="0" w:firstRowLastColumn="0" w:lastRowFirstColumn="0" w:lastRowLastColumn="0"/>
            </w:pPr>
            <w:r>
              <w:rPr>
                <w:rFonts w:eastAsia="Arial" w:cs="Arial"/>
                <w:color w:val="000000"/>
              </w:rPr>
              <w:t>22.1%</w:t>
            </w:r>
          </w:p>
        </w:tc>
      </w:tr>
      <w:tr w:rsidR="00DE2DEE" w14:paraId="78D63478" w14:textId="77777777" w:rsidTr="00DE2DEE">
        <w:trPr>
          <w:cnfStyle w:val="000000100000" w:firstRow="0" w:lastRow="0" w:firstColumn="0" w:lastColumn="0" w:oddVBand="0" w:evenVBand="0" w:oddHBand="1" w:evenHBand="0" w:firstRowFirstColumn="0" w:firstRowLastColumn="0" w:lastRowFirstColumn="0" w:lastRowLastColumn="0"/>
          <w:trHeight w:val="389"/>
        </w:trPr>
        <w:tc>
          <w:tcPr>
            <w:cnfStyle w:val="001000000000" w:firstRow="0" w:lastRow="0" w:firstColumn="1" w:lastColumn="0" w:oddVBand="0" w:evenVBand="0" w:oddHBand="0" w:evenHBand="0" w:firstRowFirstColumn="0" w:firstRowLastColumn="0" w:lastRowFirstColumn="0" w:lastRowLastColumn="0"/>
            <w:tcW w:w="2579" w:type="dxa"/>
          </w:tcPr>
          <w:p w14:paraId="08672431" w14:textId="77777777" w:rsidR="00DE2DEE" w:rsidRPr="00DE2DEE" w:rsidRDefault="00DE2DEE" w:rsidP="006C151B">
            <w:r>
              <w:rPr>
                <w:rFonts w:eastAsia="Arial" w:cs="Arial"/>
                <w:color w:val="000000"/>
              </w:rPr>
              <w:t>Education Credentialing</w:t>
            </w:r>
          </w:p>
        </w:tc>
        <w:tc>
          <w:tcPr>
            <w:tcW w:w="1297" w:type="dxa"/>
          </w:tcPr>
          <w:p w14:paraId="05ECB455" w14:textId="77777777" w:rsidR="00DE2DEE" w:rsidRPr="00DE2DEE" w:rsidRDefault="00DE2DEE" w:rsidP="006C151B">
            <w:pPr>
              <w:jc w:val="right"/>
              <w:cnfStyle w:val="000000100000" w:firstRow="0" w:lastRow="0" w:firstColumn="0" w:lastColumn="0" w:oddVBand="0" w:evenVBand="0" w:oddHBand="1" w:evenHBand="0" w:firstRowFirstColumn="0" w:firstRowLastColumn="0" w:lastRowFirstColumn="0" w:lastRowLastColumn="0"/>
            </w:pPr>
            <w:r>
              <w:rPr>
                <w:rFonts w:eastAsia="Arial" w:cs="Arial"/>
                <w:color w:val="000000"/>
              </w:rPr>
              <w:t>1.3%</w:t>
            </w:r>
          </w:p>
        </w:tc>
        <w:tc>
          <w:tcPr>
            <w:tcW w:w="1653" w:type="dxa"/>
          </w:tcPr>
          <w:p w14:paraId="2F2F2841" w14:textId="77777777" w:rsidR="00DE2DEE" w:rsidRPr="00DE2DEE" w:rsidRDefault="00DE2DEE" w:rsidP="006C151B">
            <w:pPr>
              <w:jc w:val="right"/>
              <w:cnfStyle w:val="000000100000" w:firstRow="0" w:lastRow="0" w:firstColumn="0" w:lastColumn="0" w:oddVBand="0" w:evenVBand="0" w:oddHBand="1" w:evenHBand="0" w:firstRowFirstColumn="0" w:firstRowLastColumn="0" w:lastRowFirstColumn="0" w:lastRowLastColumn="0"/>
            </w:pPr>
            <w:r>
              <w:rPr>
                <w:rFonts w:eastAsia="Arial" w:cs="Arial"/>
                <w:color w:val="000000"/>
              </w:rPr>
              <w:t>0.3%</w:t>
            </w:r>
          </w:p>
        </w:tc>
        <w:tc>
          <w:tcPr>
            <w:tcW w:w="1539" w:type="dxa"/>
          </w:tcPr>
          <w:p w14:paraId="3F280B39" w14:textId="77777777" w:rsidR="00DE2DEE" w:rsidRPr="00DE2DEE" w:rsidRDefault="00DE2DEE" w:rsidP="006C151B">
            <w:pPr>
              <w:jc w:val="right"/>
              <w:cnfStyle w:val="000000100000" w:firstRow="0" w:lastRow="0" w:firstColumn="0" w:lastColumn="0" w:oddVBand="0" w:evenVBand="0" w:oddHBand="1" w:evenHBand="0" w:firstRowFirstColumn="0" w:firstRowLastColumn="0" w:lastRowFirstColumn="0" w:lastRowLastColumn="0"/>
            </w:pPr>
            <w:r>
              <w:rPr>
                <w:rFonts w:eastAsia="Arial" w:cs="Arial"/>
                <w:color w:val="000000"/>
              </w:rPr>
              <w:t>$21,383</w:t>
            </w:r>
          </w:p>
        </w:tc>
        <w:tc>
          <w:tcPr>
            <w:tcW w:w="1935" w:type="dxa"/>
          </w:tcPr>
          <w:p w14:paraId="7E4359BA" w14:textId="77777777" w:rsidR="00DE2DEE" w:rsidRPr="00DE2DEE" w:rsidRDefault="00DE2DEE" w:rsidP="006C151B">
            <w:pPr>
              <w:jc w:val="right"/>
              <w:cnfStyle w:val="000000100000" w:firstRow="0" w:lastRow="0" w:firstColumn="0" w:lastColumn="0" w:oddVBand="0" w:evenVBand="0" w:oddHBand="1" w:evenHBand="0" w:firstRowFirstColumn="0" w:firstRowLastColumn="0" w:lastRowFirstColumn="0" w:lastRowLastColumn="0"/>
            </w:pPr>
            <w:r>
              <w:rPr>
                <w:rFonts w:eastAsia="Arial" w:cs="Arial"/>
                <w:color w:val="000000"/>
              </w:rPr>
              <w:t>19.6%</w:t>
            </w:r>
          </w:p>
        </w:tc>
      </w:tr>
    </w:tbl>
    <w:p w14:paraId="737F747A" w14:textId="77777777" w:rsidR="00496F61" w:rsidRDefault="00496F61" w:rsidP="00496F61">
      <w:pPr>
        <w:spacing w:after="80"/>
      </w:pPr>
    </w:p>
    <w:p w14:paraId="7BA4584A" w14:textId="20FCFCD7" w:rsidR="00496F61" w:rsidRDefault="00496F61" w:rsidP="00496F61">
      <w:pPr>
        <w:spacing w:after="140"/>
        <w:jc w:val="both"/>
      </w:pPr>
      <w:r>
        <w:t xml:space="preserve">The three largest types by pathway volume — Professional &amp; Financial Services, Technology Pivot, and Project &amp; Operations Management — together account for over 40% of identified </w:t>
      </w:r>
      <w:proofErr w:type="spellStart"/>
      <w:r>
        <w:t>destranding</w:t>
      </w:r>
      <w:proofErr w:type="spellEnd"/>
      <w:r>
        <w:t xml:space="preserve"> pathways and roughly two-thirds of TN-observed </w:t>
      </w:r>
      <w:proofErr w:type="spellStart"/>
      <w:r>
        <w:t>destranding</w:t>
      </w:r>
      <w:proofErr w:type="spellEnd"/>
      <w:r>
        <w:t xml:space="preserve"> workers. By average </w:t>
      </w:r>
      <w:proofErr w:type="spellStart"/>
      <w:r>
        <w:t>strandedness</w:t>
      </w:r>
      <w:proofErr w:type="spellEnd"/>
      <w:r>
        <w:t xml:space="preserve"> reduction, the most impactful type is Sales &amp; Commercial, which draws from the most deeply stranded origin occupations, followed by Education Credentialing and Professional &amp; Financial Services. Healthcare Ladder, though smaller in volume, delivers the highest average wage gain of any type, with Skilled Trades Advancement close behind.</w:t>
      </w:r>
    </w:p>
    <w:p w14:paraId="6ADC0558" w14:textId="77777777" w:rsidR="00496F61" w:rsidRDefault="00496F61" w:rsidP="00496F61">
      <w:r>
        <w:br w:type="page"/>
      </w:r>
    </w:p>
    <w:p w14:paraId="7390C8E0" w14:textId="7D67C265" w:rsidR="00496F61" w:rsidRDefault="00402AF7" w:rsidP="00402AF7">
      <w:pPr>
        <w:pStyle w:val="Heading4"/>
      </w:pPr>
      <w:r>
        <w:lastRenderedPageBreak/>
        <w:t>Healthcare Ladder</w:t>
      </w:r>
    </w:p>
    <w:p w14:paraId="147720DB" w14:textId="77777777" w:rsidR="00496F61" w:rsidRDefault="00496F61" w:rsidP="00496F61">
      <w:pPr>
        <w:spacing w:after="140"/>
        <w:jc w:val="both"/>
      </w:pPr>
      <w:r>
        <w:t>Workers move upward within the healthcare system by acquiring clinical licensure or advanced practice credentials. These transitions are characterised by strong occupational similarity — the destination role builds directly on clinical exposure already accumulated in the origin role — combined with a specific, well-defined credentialling requirement that gatekeeps entry. The pathway is clear, the destination is high-demand, and the wage uplift is substantial.</w:t>
      </w:r>
    </w:p>
    <w:p w14:paraId="26EAD4C6" w14:textId="5E0EEC7A" w:rsidR="00402AF7" w:rsidRDefault="00402AF7" w:rsidP="00496F61">
      <w:pPr>
        <w:spacing w:after="140"/>
        <w:jc w:val="both"/>
      </w:pPr>
      <w:r>
        <w:t>Income support during bridge programme enrolment is the primary barrier. Workers in this pathway typically have full-time clinical hours and cannot easily reduce employment. Tennessee's community college LPN-to-RN programmes are the natural infrastructure for scaling this pathway.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496F61" w14:paraId="476B8B6A" w14:textId="77777777" w:rsidTr="006C151B">
        <w:tc>
          <w:tcPr>
            <w:tcW w:w="2340" w:type="dxa"/>
            <w:tcBorders>
              <w:top w:val="single" w:sz="4" w:space="0" w:color="BBBBBB"/>
              <w:left w:val="single" w:sz="4" w:space="0" w:color="BBBBBB"/>
              <w:bottom w:val="single" w:sz="4" w:space="0" w:color="BBBBBB"/>
              <w:right w:val="single" w:sz="4" w:space="0" w:color="BBBBBB"/>
            </w:tcBorders>
            <w:shd w:val="clear" w:color="auto" w:fill="2E75B6"/>
            <w:tcMar>
              <w:top w:w="80" w:type="dxa"/>
              <w:left w:w="140" w:type="dxa"/>
              <w:bottom w:w="80" w:type="dxa"/>
              <w:right w:w="140" w:type="dxa"/>
            </w:tcMar>
          </w:tcPr>
          <w:p w14:paraId="39341F31" w14:textId="77777777" w:rsidR="00496F61" w:rsidRPr="00402AF7" w:rsidRDefault="00496F61" w:rsidP="006C151B">
            <w:pPr>
              <w:jc w:val="center"/>
            </w:pPr>
            <w:r>
              <w:rPr>
                <w:rFonts w:eastAsia="Arial" w:cs="Arial"/>
                <w:b/>
                <w:bCs/>
                <w:color w:val="FFFFFF"/>
              </w:rPr>
              <w:t>Typical Origin Occupations</w:t>
            </w:r>
          </w:p>
        </w:tc>
        <w:tc>
          <w:tcPr>
            <w:tcW w:w="2340" w:type="dxa"/>
            <w:tcBorders>
              <w:top w:val="single" w:sz="4" w:space="0" w:color="BBBBBB"/>
              <w:left w:val="single" w:sz="4" w:space="0" w:color="BBBBBB"/>
              <w:bottom w:val="single" w:sz="4" w:space="0" w:color="BBBBBB"/>
              <w:right w:val="single" w:sz="4" w:space="0" w:color="BBBBBB"/>
            </w:tcBorders>
            <w:shd w:val="clear" w:color="auto" w:fill="2E75B6"/>
            <w:tcMar>
              <w:top w:w="80" w:type="dxa"/>
              <w:left w:w="140" w:type="dxa"/>
              <w:bottom w:w="80" w:type="dxa"/>
              <w:right w:w="140" w:type="dxa"/>
            </w:tcMar>
          </w:tcPr>
          <w:p w14:paraId="1F9D6608" w14:textId="77777777" w:rsidR="00496F61" w:rsidRPr="00402AF7" w:rsidRDefault="00496F61" w:rsidP="006C151B">
            <w:pPr>
              <w:jc w:val="center"/>
            </w:pPr>
            <w:r>
              <w:rPr>
                <w:rFonts w:eastAsia="Arial" w:cs="Arial"/>
                <w:b/>
                <w:bCs/>
                <w:color w:val="FFFFFF"/>
              </w:rPr>
              <w:t>Typical Destination Occupations</w:t>
            </w:r>
          </w:p>
        </w:tc>
        <w:tc>
          <w:tcPr>
            <w:tcW w:w="2340" w:type="dxa"/>
            <w:tcBorders>
              <w:top w:val="single" w:sz="4" w:space="0" w:color="BBBBBB"/>
              <w:left w:val="single" w:sz="4" w:space="0" w:color="BBBBBB"/>
              <w:bottom w:val="single" w:sz="4" w:space="0" w:color="BBBBBB"/>
              <w:right w:val="single" w:sz="4" w:space="0" w:color="BBBBBB"/>
            </w:tcBorders>
            <w:shd w:val="clear" w:color="auto" w:fill="2E75B6"/>
            <w:tcMar>
              <w:top w:w="80" w:type="dxa"/>
              <w:left w:w="140" w:type="dxa"/>
              <w:bottom w:w="80" w:type="dxa"/>
              <w:right w:w="140" w:type="dxa"/>
            </w:tcMar>
          </w:tcPr>
          <w:p w14:paraId="74600277" w14:textId="77777777" w:rsidR="00496F61" w:rsidRPr="00402AF7" w:rsidRDefault="00496F61" w:rsidP="006C151B">
            <w:pPr>
              <w:jc w:val="center"/>
            </w:pPr>
            <w:r>
              <w:rPr>
                <w:rFonts w:eastAsia="Arial" w:cs="Arial"/>
                <w:b/>
                <w:bCs/>
                <w:color w:val="FFFFFF"/>
              </w:rPr>
              <w:t>Key Skills Required</w:t>
            </w:r>
          </w:p>
        </w:tc>
        <w:tc>
          <w:tcPr>
            <w:tcW w:w="2340" w:type="dxa"/>
            <w:tcBorders>
              <w:top w:val="single" w:sz="4" w:space="0" w:color="BBBBBB"/>
              <w:left w:val="single" w:sz="4" w:space="0" w:color="BBBBBB"/>
              <w:bottom w:val="single" w:sz="4" w:space="0" w:color="BBBBBB"/>
              <w:right w:val="single" w:sz="4" w:space="0" w:color="BBBBBB"/>
            </w:tcBorders>
            <w:shd w:val="clear" w:color="auto" w:fill="2E75B6"/>
            <w:tcMar>
              <w:top w:w="80" w:type="dxa"/>
              <w:left w:w="140" w:type="dxa"/>
              <w:bottom w:w="80" w:type="dxa"/>
              <w:right w:w="140" w:type="dxa"/>
            </w:tcMar>
          </w:tcPr>
          <w:p w14:paraId="224B8CF6" w14:textId="0A3BA6EE" w:rsidR="00496F61" w:rsidRPr="00402AF7" w:rsidRDefault="00496F61" w:rsidP="006C151B">
            <w:pPr>
              <w:jc w:val="center"/>
            </w:pPr>
            <w:r>
              <w:rPr>
                <w:rFonts w:eastAsia="Arial" w:cs="Arial"/>
                <w:b/>
                <w:bCs/>
                <w:color w:val="FFFFFF"/>
              </w:rPr>
              <w:t>Key Credentials / Licenses</w:t>
            </w:r>
          </w:p>
        </w:tc>
      </w:tr>
      <w:tr w:rsidR="00496F61" w14:paraId="271B5362" w14:textId="77777777" w:rsidTr="006C151B">
        <w:tc>
          <w:tcPr>
            <w:tcW w:w="234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tcPr>
          <w:p w14:paraId="03D03761" w14:textId="77777777" w:rsidR="00496F61" w:rsidRPr="00402AF7" w:rsidRDefault="00496F61" w:rsidP="006C151B">
            <w:pPr>
              <w:spacing w:after="60"/>
            </w:pPr>
            <w:r>
              <w:rPr>
                <w:rFonts w:eastAsia="Arial" w:cs="Arial"/>
              </w:rPr>
              <w:t>•  Surgical Technologists</w:t>
            </w:r>
          </w:p>
          <w:p w14:paraId="008D52AC" w14:textId="77777777" w:rsidR="00496F61" w:rsidRPr="00402AF7" w:rsidRDefault="00496F61" w:rsidP="006C151B">
            <w:pPr>
              <w:spacing w:after="60"/>
            </w:pPr>
            <w:r>
              <w:rPr>
                <w:rFonts w:eastAsia="Arial" w:cs="Arial"/>
              </w:rPr>
              <w:t>•  Licensed Practical / Vocational Nurses</w:t>
            </w:r>
          </w:p>
          <w:p w14:paraId="48A94A2E" w14:textId="77777777" w:rsidR="00496F61" w:rsidRPr="00402AF7" w:rsidRDefault="00496F61" w:rsidP="006C151B">
            <w:pPr>
              <w:spacing w:after="60"/>
            </w:pPr>
            <w:r>
              <w:rPr>
                <w:rFonts w:eastAsia="Arial" w:cs="Arial"/>
              </w:rPr>
              <w:t>•  Pharmacy Technicians</w:t>
            </w:r>
          </w:p>
          <w:p w14:paraId="218F9B4F" w14:textId="77777777" w:rsidR="00496F61" w:rsidRPr="00402AF7" w:rsidRDefault="00496F61" w:rsidP="006C151B">
            <w:pPr>
              <w:spacing w:after="60"/>
            </w:pPr>
            <w:r>
              <w:rPr>
                <w:rFonts w:eastAsia="Arial" w:cs="Arial"/>
              </w:rPr>
              <w:t>•  Registered Nurses</w:t>
            </w:r>
          </w:p>
          <w:p w14:paraId="1D45E76A" w14:textId="77777777" w:rsidR="00496F61" w:rsidRPr="00402AF7" w:rsidRDefault="00496F61" w:rsidP="006C151B">
            <w:pPr>
              <w:spacing w:after="60"/>
            </w:pPr>
            <w:r>
              <w:rPr>
                <w:rFonts w:eastAsia="Arial" w:cs="Arial"/>
              </w:rPr>
              <w:t>•  Dental Assistants</w:t>
            </w:r>
          </w:p>
          <w:p w14:paraId="1DCB8C73" w14:textId="77777777" w:rsidR="00496F61" w:rsidRPr="00402AF7" w:rsidRDefault="00496F61" w:rsidP="006C151B">
            <w:pPr>
              <w:spacing w:after="60"/>
            </w:pPr>
            <w:r>
              <w:rPr>
                <w:rFonts w:eastAsia="Arial" w:cs="Arial"/>
              </w:rPr>
              <w:t>•  Veterinary Technologists and Technicians</w:t>
            </w:r>
          </w:p>
        </w:tc>
        <w:tc>
          <w:tcPr>
            <w:tcW w:w="234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tcPr>
          <w:p w14:paraId="430A6882" w14:textId="77777777" w:rsidR="00496F61" w:rsidRPr="00402AF7" w:rsidRDefault="00496F61" w:rsidP="006C151B">
            <w:pPr>
              <w:spacing w:after="60"/>
            </w:pPr>
            <w:r>
              <w:rPr>
                <w:rFonts w:eastAsia="Arial" w:cs="Arial"/>
              </w:rPr>
              <w:t>•  Physician Assistants</w:t>
            </w:r>
          </w:p>
          <w:p w14:paraId="24D7E16F" w14:textId="77777777" w:rsidR="00496F61" w:rsidRPr="00402AF7" w:rsidRDefault="00496F61" w:rsidP="006C151B">
            <w:pPr>
              <w:spacing w:after="60"/>
            </w:pPr>
            <w:r>
              <w:rPr>
                <w:rFonts w:eastAsia="Arial" w:cs="Arial"/>
              </w:rPr>
              <w:t>•  Registered Nurses</w:t>
            </w:r>
          </w:p>
          <w:p w14:paraId="08F02802" w14:textId="77777777" w:rsidR="00496F61" w:rsidRPr="00402AF7" w:rsidRDefault="00496F61" w:rsidP="006C151B">
            <w:pPr>
              <w:spacing w:after="60"/>
            </w:pPr>
            <w:r>
              <w:rPr>
                <w:rFonts w:eastAsia="Arial" w:cs="Arial"/>
              </w:rPr>
              <w:t xml:space="preserve">•  Nurse </w:t>
            </w:r>
            <w:proofErr w:type="spellStart"/>
            <w:r>
              <w:rPr>
                <w:rFonts w:eastAsia="Arial" w:cs="Arial"/>
              </w:rPr>
              <w:t>Anesthetists</w:t>
            </w:r>
            <w:proofErr w:type="spellEnd"/>
          </w:p>
          <w:p w14:paraId="003B8F8D" w14:textId="77777777" w:rsidR="00496F61" w:rsidRPr="00402AF7" w:rsidRDefault="00496F61" w:rsidP="006C151B">
            <w:pPr>
              <w:spacing w:after="60"/>
            </w:pPr>
            <w:r>
              <w:rPr>
                <w:rFonts w:eastAsia="Arial" w:cs="Arial"/>
              </w:rPr>
              <w:t>•  Physicians</w:t>
            </w:r>
          </w:p>
          <w:p w14:paraId="07FEB7E4" w14:textId="77777777" w:rsidR="00496F61" w:rsidRPr="00402AF7" w:rsidRDefault="00496F61" w:rsidP="006C151B">
            <w:pPr>
              <w:spacing w:after="60"/>
            </w:pPr>
            <w:r>
              <w:rPr>
                <w:rFonts w:eastAsia="Arial" w:cs="Arial"/>
              </w:rPr>
              <w:t>•  Clinical Laboratory Technologists</w:t>
            </w:r>
          </w:p>
          <w:p w14:paraId="51E16AFD" w14:textId="77777777" w:rsidR="00496F61" w:rsidRPr="00402AF7" w:rsidRDefault="00496F61" w:rsidP="006C151B">
            <w:pPr>
              <w:spacing w:after="60"/>
            </w:pPr>
            <w:r>
              <w:rPr>
                <w:rFonts w:eastAsia="Arial" w:cs="Arial"/>
              </w:rPr>
              <w:t>•  Physical Therapists</w:t>
            </w:r>
          </w:p>
          <w:p w14:paraId="4FD246DD" w14:textId="77777777" w:rsidR="00496F61" w:rsidRPr="00402AF7" w:rsidRDefault="00496F61" w:rsidP="006C151B">
            <w:pPr>
              <w:spacing w:after="60"/>
            </w:pPr>
            <w:r>
              <w:rPr>
                <w:rFonts w:eastAsia="Arial" w:cs="Arial"/>
              </w:rPr>
              <w:t>•  Pharmacists</w:t>
            </w:r>
          </w:p>
        </w:tc>
        <w:tc>
          <w:tcPr>
            <w:tcW w:w="234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tcPr>
          <w:p w14:paraId="661D7203" w14:textId="77777777" w:rsidR="00496F61" w:rsidRPr="00402AF7" w:rsidRDefault="00496F61" w:rsidP="006C151B">
            <w:pPr>
              <w:spacing w:after="60"/>
            </w:pPr>
            <w:r>
              <w:rPr>
                <w:rFonts w:eastAsia="Arial" w:cs="Arial"/>
              </w:rPr>
              <w:t>•  Surgery</w:t>
            </w:r>
          </w:p>
          <w:p w14:paraId="50F56A78" w14:textId="77777777" w:rsidR="00496F61" w:rsidRPr="00402AF7" w:rsidRDefault="00496F61" w:rsidP="006C151B">
            <w:pPr>
              <w:spacing w:after="60"/>
            </w:pPr>
            <w:r>
              <w:rPr>
                <w:rFonts w:eastAsia="Arial" w:cs="Arial"/>
              </w:rPr>
              <w:t xml:space="preserve">•  </w:t>
            </w:r>
            <w:proofErr w:type="spellStart"/>
            <w:r>
              <w:rPr>
                <w:rFonts w:eastAsia="Arial" w:cs="Arial"/>
              </w:rPr>
              <w:t>Anesthesias</w:t>
            </w:r>
            <w:proofErr w:type="spellEnd"/>
          </w:p>
          <w:p w14:paraId="720263CB" w14:textId="77777777" w:rsidR="00496F61" w:rsidRPr="00402AF7" w:rsidRDefault="00496F61" w:rsidP="006C151B">
            <w:pPr>
              <w:spacing w:after="60"/>
            </w:pPr>
            <w:r>
              <w:rPr>
                <w:rFonts w:eastAsia="Arial" w:cs="Arial"/>
              </w:rPr>
              <w:t>•  Nursing</w:t>
            </w:r>
          </w:p>
          <w:p w14:paraId="60BB59A8" w14:textId="77777777" w:rsidR="00496F61" w:rsidRPr="00402AF7" w:rsidRDefault="00496F61" w:rsidP="006C151B">
            <w:pPr>
              <w:spacing w:after="60"/>
            </w:pPr>
            <w:r>
              <w:rPr>
                <w:rFonts w:eastAsia="Arial" w:cs="Arial"/>
              </w:rPr>
              <w:t xml:space="preserve">•  </w:t>
            </w:r>
            <w:proofErr w:type="spellStart"/>
            <w:r>
              <w:rPr>
                <w:rFonts w:eastAsia="Arial" w:cs="Arial"/>
              </w:rPr>
              <w:t>Orthopedics</w:t>
            </w:r>
            <w:proofErr w:type="spellEnd"/>
          </w:p>
          <w:p w14:paraId="0E6B6610" w14:textId="77777777" w:rsidR="00496F61" w:rsidRPr="00402AF7" w:rsidRDefault="00496F61" w:rsidP="006C151B">
            <w:pPr>
              <w:spacing w:after="60"/>
            </w:pPr>
            <w:r>
              <w:rPr>
                <w:rFonts w:eastAsia="Arial" w:cs="Arial"/>
              </w:rPr>
              <w:t>•  Primary Care</w:t>
            </w:r>
          </w:p>
          <w:p w14:paraId="49373A18" w14:textId="77777777" w:rsidR="00496F61" w:rsidRPr="00402AF7" w:rsidRDefault="00496F61" w:rsidP="006C151B">
            <w:pPr>
              <w:spacing w:after="60"/>
            </w:pPr>
            <w:r>
              <w:rPr>
                <w:rFonts w:eastAsia="Arial" w:cs="Arial"/>
              </w:rPr>
              <w:t>•  Medication Administration</w:t>
            </w:r>
          </w:p>
          <w:p w14:paraId="66BC9318" w14:textId="77777777" w:rsidR="00496F61" w:rsidRPr="00402AF7" w:rsidRDefault="00496F61" w:rsidP="006C151B">
            <w:pPr>
              <w:spacing w:after="60"/>
            </w:pPr>
            <w:r>
              <w:rPr>
                <w:rFonts w:eastAsia="Arial" w:cs="Arial"/>
              </w:rPr>
              <w:t>•  Treatment Planning</w:t>
            </w:r>
          </w:p>
        </w:tc>
        <w:tc>
          <w:tcPr>
            <w:tcW w:w="234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tcPr>
          <w:p w14:paraId="7CFE314D" w14:textId="77777777" w:rsidR="00496F61" w:rsidRPr="00402AF7" w:rsidRDefault="00496F61" w:rsidP="006C151B">
            <w:pPr>
              <w:spacing w:after="60"/>
            </w:pPr>
            <w:r>
              <w:rPr>
                <w:rFonts w:eastAsia="Arial" w:cs="Arial"/>
              </w:rPr>
              <w:t>•  Basic Life Support (BLS) Certification</w:t>
            </w:r>
          </w:p>
          <w:p w14:paraId="6B63DA88" w14:textId="77777777" w:rsidR="00496F61" w:rsidRPr="00402AF7" w:rsidRDefault="00496F61" w:rsidP="006C151B">
            <w:pPr>
              <w:spacing w:after="60"/>
            </w:pPr>
            <w:r>
              <w:rPr>
                <w:rFonts w:eastAsia="Arial" w:cs="Arial"/>
              </w:rPr>
              <w:t>•  Advanced Cardiovascular Life Support (ACLS)</w:t>
            </w:r>
          </w:p>
          <w:p w14:paraId="70C372F0" w14:textId="77777777" w:rsidR="00496F61" w:rsidRPr="00402AF7" w:rsidRDefault="00496F61" w:rsidP="006C151B">
            <w:pPr>
              <w:spacing w:after="60"/>
            </w:pPr>
            <w:r>
              <w:rPr>
                <w:rFonts w:eastAsia="Arial" w:cs="Arial"/>
              </w:rPr>
              <w:t xml:space="preserve">•  </w:t>
            </w:r>
            <w:proofErr w:type="spellStart"/>
            <w:r>
              <w:rPr>
                <w:rFonts w:eastAsia="Arial" w:cs="Arial"/>
              </w:rPr>
              <w:t>Pediatric</w:t>
            </w:r>
            <w:proofErr w:type="spellEnd"/>
            <w:r>
              <w:rPr>
                <w:rFonts w:eastAsia="Arial" w:cs="Arial"/>
              </w:rPr>
              <w:t xml:space="preserve"> Advanced Life Support (PALS)</w:t>
            </w:r>
          </w:p>
          <w:p w14:paraId="151D51CF" w14:textId="77777777" w:rsidR="00496F61" w:rsidRPr="00402AF7" w:rsidRDefault="00496F61" w:rsidP="006C151B">
            <w:pPr>
              <w:spacing w:after="60"/>
            </w:pPr>
            <w:r>
              <w:rPr>
                <w:rFonts w:eastAsia="Arial" w:cs="Arial"/>
              </w:rPr>
              <w:t>•  Physician Assistant - Certified (PA-C)</w:t>
            </w:r>
          </w:p>
          <w:p w14:paraId="20D825FA" w14:textId="05CD7A60" w:rsidR="00496F61" w:rsidRPr="00402AF7" w:rsidRDefault="00496F61" w:rsidP="006C151B">
            <w:pPr>
              <w:spacing w:after="60"/>
            </w:pPr>
            <w:r>
              <w:rPr>
                <w:rFonts w:eastAsia="Arial" w:cs="Arial"/>
              </w:rPr>
              <w:t>•  Registered Nurse</w:t>
            </w:r>
          </w:p>
          <w:p w14:paraId="1F35AF01" w14:textId="5AB78372" w:rsidR="00496F61" w:rsidRPr="00402AF7" w:rsidRDefault="00496F61" w:rsidP="006C151B">
            <w:pPr>
              <w:spacing w:after="60"/>
            </w:pPr>
            <w:r>
              <w:rPr>
                <w:rFonts w:eastAsia="Arial" w:cs="Arial"/>
              </w:rPr>
              <w:t>•  Licensed Practical Nurse</w:t>
            </w:r>
          </w:p>
          <w:p w14:paraId="69878244" w14:textId="605BBE88" w:rsidR="00496F61" w:rsidRPr="00402AF7" w:rsidRDefault="00496F61" w:rsidP="006C151B">
            <w:pPr>
              <w:spacing w:after="60"/>
            </w:pPr>
            <w:r>
              <w:rPr>
                <w:rFonts w:eastAsia="Arial" w:cs="Arial"/>
              </w:rPr>
              <w:t xml:space="preserve">•  Nurse </w:t>
            </w:r>
            <w:proofErr w:type="spellStart"/>
            <w:r>
              <w:rPr>
                <w:rFonts w:eastAsia="Arial" w:cs="Arial"/>
              </w:rPr>
              <w:t>Anesthetist</w:t>
            </w:r>
            <w:proofErr w:type="spellEnd"/>
            <w:r>
              <w:rPr>
                <w:rFonts w:eastAsia="Arial" w:cs="Arial"/>
              </w:rPr>
              <w:t xml:space="preserve"> – TN License</w:t>
            </w:r>
          </w:p>
          <w:p w14:paraId="0E9D60CB" w14:textId="77F558FE" w:rsidR="00496F61" w:rsidRPr="00402AF7" w:rsidRDefault="00496F61" w:rsidP="006C151B">
            <w:pPr>
              <w:spacing w:after="60"/>
            </w:pPr>
            <w:r>
              <w:rPr>
                <w:rFonts w:eastAsia="Arial" w:cs="Arial"/>
              </w:rPr>
              <w:t>•  Pharmacist – TN License</w:t>
            </w:r>
          </w:p>
        </w:tc>
      </w:tr>
    </w:tbl>
    <w:p w14:paraId="5E5A9AC9" w14:textId="77777777" w:rsidR="00496F61" w:rsidRDefault="00496F61" w:rsidP="00496F61">
      <w:pPr>
        <w:spacing w:after="80"/>
      </w:pPr>
    </w:p>
    <w:p w14:paraId="3B1DF832" w14:textId="76D2E5AE" w:rsidR="00496F61" w:rsidRDefault="00402AF7" w:rsidP="00402AF7">
      <w:pPr>
        <w:pStyle w:val="Heading4"/>
      </w:pPr>
      <w:r>
        <w:lastRenderedPageBreak/>
        <w:t>Technology Pivot</w:t>
      </w:r>
    </w:p>
    <w:p w14:paraId="6ACB8420" w14:textId="77777777" w:rsidR="00496F61" w:rsidRDefault="00496F61" w:rsidP="00496F61">
      <w:pPr>
        <w:spacing w:after="140"/>
        <w:jc w:val="both"/>
      </w:pPr>
      <w:r>
        <w:t>Workers from a wide range of stranded occupations — including customer service, administrative support, science technicians, healthcare, and arts/media — transition into computer and mathematical occupations. These moves are enabled primarily by the acquisition of technical skills (coding, data analysis, IT infrastructure) rather than traditional degree credentials, making them well-suited to short-cycle bootcamp and certification programmes. The breadth of source occupations is the defining feature: technology absorbs workers from almost every sector.</w:t>
      </w:r>
    </w:p>
    <w:p w14:paraId="245F2C9E" w14:textId="723F5E4C" w:rsidR="00402AF7" w:rsidRDefault="00402AF7" w:rsidP="00496F61">
      <w:pPr>
        <w:spacing w:after="140"/>
        <w:jc w:val="both"/>
      </w:pPr>
      <w:r>
        <w:t>This is the broadest and most scalable transition pathway. Tennessee's growing technology employer base — particularly in Nashville and Knoxville — provides destination demand. The primary investment required is subsidised access to short-cycle technical training, with particular attention to workers from food service, retail, and administrative backgrounds where the career pivot is least intuitive.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496F61" w14:paraId="5086E474" w14:textId="77777777" w:rsidTr="006C151B">
        <w:tc>
          <w:tcPr>
            <w:tcW w:w="2340" w:type="dxa"/>
            <w:tcBorders>
              <w:top w:val="single" w:sz="4" w:space="0" w:color="BBBBBB"/>
              <w:left w:val="single" w:sz="4" w:space="0" w:color="BBBBBB"/>
              <w:bottom w:val="single" w:sz="4" w:space="0" w:color="BBBBBB"/>
              <w:right w:val="single" w:sz="4" w:space="0" w:color="BBBBBB"/>
            </w:tcBorders>
            <w:shd w:val="clear" w:color="auto" w:fill="2E75B6"/>
            <w:tcMar>
              <w:top w:w="80" w:type="dxa"/>
              <w:left w:w="140" w:type="dxa"/>
              <w:bottom w:w="80" w:type="dxa"/>
              <w:right w:w="140" w:type="dxa"/>
            </w:tcMar>
          </w:tcPr>
          <w:p w14:paraId="1C98C021" w14:textId="77777777" w:rsidR="00496F61" w:rsidRPr="00402AF7" w:rsidRDefault="00496F61" w:rsidP="006C151B">
            <w:pPr>
              <w:jc w:val="center"/>
            </w:pPr>
            <w:r>
              <w:rPr>
                <w:rFonts w:eastAsia="Arial" w:cs="Arial"/>
                <w:b/>
                <w:bCs/>
                <w:color w:val="FFFFFF"/>
              </w:rPr>
              <w:t>Typical Origin Occupations</w:t>
            </w:r>
          </w:p>
        </w:tc>
        <w:tc>
          <w:tcPr>
            <w:tcW w:w="2340" w:type="dxa"/>
            <w:tcBorders>
              <w:top w:val="single" w:sz="4" w:space="0" w:color="BBBBBB"/>
              <w:left w:val="single" w:sz="4" w:space="0" w:color="BBBBBB"/>
              <w:bottom w:val="single" w:sz="4" w:space="0" w:color="BBBBBB"/>
              <w:right w:val="single" w:sz="4" w:space="0" w:color="BBBBBB"/>
            </w:tcBorders>
            <w:shd w:val="clear" w:color="auto" w:fill="2E75B6"/>
            <w:tcMar>
              <w:top w:w="80" w:type="dxa"/>
              <w:left w:w="140" w:type="dxa"/>
              <w:bottom w:w="80" w:type="dxa"/>
              <w:right w:w="140" w:type="dxa"/>
            </w:tcMar>
          </w:tcPr>
          <w:p w14:paraId="2B0F793F" w14:textId="77777777" w:rsidR="00496F61" w:rsidRPr="00402AF7" w:rsidRDefault="00496F61" w:rsidP="006C151B">
            <w:pPr>
              <w:jc w:val="center"/>
            </w:pPr>
            <w:r>
              <w:rPr>
                <w:rFonts w:eastAsia="Arial" w:cs="Arial"/>
                <w:b/>
                <w:bCs/>
                <w:color w:val="FFFFFF"/>
              </w:rPr>
              <w:t>Typical Destination Occupations</w:t>
            </w:r>
          </w:p>
        </w:tc>
        <w:tc>
          <w:tcPr>
            <w:tcW w:w="2340" w:type="dxa"/>
            <w:tcBorders>
              <w:top w:val="single" w:sz="4" w:space="0" w:color="BBBBBB"/>
              <w:left w:val="single" w:sz="4" w:space="0" w:color="BBBBBB"/>
              <w:bottom w:val="single" w:sz="4" w:space="0" w:color="BBBBBB"/>
              <w:right w:val="single" w:sz="4" w:space="0" w:color="BBBBBB"/>
            </w:tcBorders>
            <w:shd w:val="clear" w:color="auto" w:fill="2E75B6"/>
            <w:tcMar>
              <w:top w:w="80" w:type="dxa"/>
              <w:left w:w="140" w:type="dxa"/>
              <w:bottom w:w="80" w:type="dxa"/>
              <w:right w:w="140" w:type="dxa"/>
            </w:tcMar>
          </w:tcPr>
          <w:p w14:paraId="0BAB35C4" w14:textId="77777777" w:rsidR="00496F61" w:rsidRPr="00402AF7" w:rsidRDefault="00496F61" w:rsidP="006C151B">
            <w:pPr>
              <w:jc w:val="center"/>
            </w:pPr>
            <w:r>
              <w:rPr>
                <w:rFonts w:eastAsia="Arial" w:cs="Arial"/>
                <w:b/>
                <w:bCs/>
                <w:color w:val="FFFFFF"/>
              </w:rPr>
              <w:t>Key Skills Required</w:t>
            </w:r>
          </w:p>
        </w:tc>
        <w:tc>
          <w:tcPr>
            <w:tcW w:w="2340" w:type="dxa"/>
            <w:tcBorders>
              <w:top w:val="single" w:sz="4" w:space="0" w:color="BBBBBB"/>
              <w:left w:val="single" w:sz="4" w:space="0" w:color="BBBBBB"/>
              <w:bottom w:val="single" w:sz="4" w:space="0" w:color="BBBBBB"/>
              <w:right w:val="single" w:sz="4" w:space="0" w:color="BBBBBB"/>
            </w:tcBorders>
            <w:shd w:val="clear" w:color="auto" w:fill="2E75B6"/>
            <w:tcMar>
              <w:top w:w="80" w:type="dxa"/>
              <w:left w:w="140" w:type="dxa"/>
              <w:bottom w:w="80" w:type="dxa"/>
              <w:right w:w="140" w:type="dxa"/>
            </w:tcMar>
          </w:tcPr>
          <w:p w14:paraId="423A4571" w14:textId="17D3F244" w:rsidR="00496F61" w:rsidRPr="00402AF7" w:rsidRDefault="00496F61" w:rsidP="006C151B">
            <w:pPr>
              <w:jc w:val="center"/>
            </w:pPr>
            <w:r>
              <w:rPr>
                <w:rFonts w:eastAsia="Arial" w:cs="Arial"/>
                <w:b/>
                <w:bCs/>
                <w:color w:val="FFFFFF"/>
              </w:rPr>
              <w:t>Key Credentials / Licenses</w:t>
            </w:r>
          </w:p>
        </w:tc>
      </w:tr>
      <w:tr w:rsidR="00496F61" w14:paraId="70065B97" w14:textId="77777777" w:rsidTr="006C151B">
        <w:tc>
          <w:tcPr>
            <w:tcW w:w="234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tcPr>
          <w:p w14:paraId="498CABEA" w14:textId="77777777" w:rsidR="00FD6629" w:rsidRPr="00FD6629" w:rsidRDefault="00FD6629" w:rsidP="00FD6629">
            <w:pPr>
              <w:spacing w:after="60"/>
              <w:rPr>
                <w:rFonts w:eastAsia="Arial" w:cs="Arial"/>
              </w:rPr>
            </w:pPr>
            <w:r>
              <w:rPr>
                <w:rFonts w:eastAsia="Arial" w:cs="Arial"/>
              </w:rPr>
              <w:t>• Customer Service</w:t>
            </w:r>
          </w:p>
          <w:p w14:paraId="34AC001B" w14:textId="77777777" w:rsidR="00FD6629" w:rsidRPr="00FD6629" w:rsidRDefault="00FD6629" w:rsidP="00FD6629">
            <w:pPr>
              <w:spacing w:after="60"/>
              <w:rPr>
                <w:rFonts w:eastAsia="Arial" w:cs="Arial"/>
              </w:rPr>
            </w:pPr>
            <w:r>
              <w:rPr>
                <w:rFonts w:eastAsia="Arial" w:cs="Arial"/>
              </w:rPr>
              <w:t>Representatives</w:t>
            </w:r>
          </w:p>
          <w:p w14:paraId="458CEC51" w14:textId="77777777" w:rsidR="00FD6629" w:rsidRPr="00FD6629" w:rsidRDefault="00FD6629" w:rsidP="00FD6629">
            <w:pPr>
              <w:spacing w:after="60"/>
              <w:rPr>
                <w:rFonts w:eastAsia="Arial" w:cs="Arial"/>
              </w:rPr>
            </w:pPr>
            <w:r>
              <w:rPr>
                <w:rFonts w:eastAsia="Arial" w:cs="Arial"/>
              </w:rPr>
              <w:t>• Data Entry Keyers</w:t>
            </w:r>
          </w:p>
          <w:p w14:paraId="4A52B777" w14:textId="77777777" w:rsidR="00FD6629" w:rsidRPr="00FD6629" w:rsidRDefault="00FD6629" w:rsidP="00FD6629">
            <w:pPr>
              <w:spacing w:after="60"/>
              <w:rPr>
                <w:rFonts w:eastAsia="Arial" w:cs="Arial"/>
              </w:rPr>
            </w:pPr>
            <w:r>
              <w:rPr>
                <w:rFonts w:eastAsia="Arial" w:cs="Arial"/>
              </w:rPr>
              <w:t>• Pharmacy</w:t>
            </w:r>
          </w:p>
          <w:p w14:paraId="62553A7A" w14:textId="77777777" w:rsidR="00FD6629" w:rsidRPr="00FD6629" w:rsidRDefault="00FD6629" w:rsidP="00FD6629">
            <w:pPr>
              <w:spacing w:after="60"/>
              <w:rPr>
                <w:rFonts w:eastAsia="Arial" w:cs="Arial"/>
              </w:rPr>
            </w:pPr>
            <w:r>
              <w:rPr>
                <w:rFonts w:eastAsia="Arial" w:cs="Arial"/>
              </w:rPr>
              <w:t>Technicians</w:t>
            </w:r>
          </w:p>
          <w:p w14:paraId="7AB149E3" w14:textId="77777777" w:rsidR="00FD6629" w:rsidRPr="00FD6629" w:rsidRDefault="00FD6629" w:rsidP="00FD6629">
            <w:pPr>
              <w:spacing w:after="60"/>
              <w:rPr>
                <w:rFonts w:eastAsia="Arial" w:cs="Arial"/>
              </w:rPr>
            </w:pPr>
            <w:r>
              <w:rPr>
                <w:rFonts w:eastAsia="Arial" w:cs="Arial"/>
              </w:rPr>
              <w:t>• Other Life, Physical,</w:t>
            </w:r>
          </w:p>
          <w:p w14:paraId="7E6C750F" w14:textId="77777777" w:rsidR="00FD6629" w:rsidRPr="00FD6629" w:rsidRDefault="00FD6629" w:rsidP="00FD6629">
            <w:pPr>
              <w:spacing w:after="60"/>
              <w:rPr>
                <w:rFonts w:eastAsia="Arial" w:cs="Arial"/>
              </w:rPr>
            </w:pPr>
            <w:r>
              <w:rPr>
                <w:rFonts w:eastAsia="Arial" w:cs="Arial"/>
              </w:rPr>
              <w:t>and Social Science</w:t>
            </w:r>
          </w:p>
          <w:p w14:paraId="21D3BA5C" w14:textId="77777777" w:rsidR="00FD6629" w:rsidRPr="00FD6629" w:rsidRDefault="00FD6629" w:rsidP="00FD6629">
            <w:pPr>
              <w:spacing w:after="60"/>
              <w:rPr>
                <w:rFonts w:eastAsia="Arial" w:cs="Arial"/>
              </w:rPr>
            </w:pPr>
            <w:r>
              <w:rPr>
                <w:rFonts w:eastAsia="Arial" w:cs="Arial"/>
              </w:rPr>
              <w:t>Technicians</w:t>
            </w:r>
          </w:p>
          <w:p w14:paraId="52A12347" w14:textId="77777777" w:rsidR="00FD6629" w:rsidRPr="00FD6629" w:rsidRDefault="00FD6629" w:rsidP="00FD6629">
            <w:pPr>
              <w:spacing w:after="60"/>
              <w:rPr>
                <w:rFonts w:eastAsia="Arial" w:cs="Arial"/>
              </w:rPr>
            </w:pPr>
            <w:r>
              <w:rPr>
                <w:rFonts w:eastAsia="Arial" w:cs="Arial"/>
              </w:rPr>
              <w:t>• Graphic Designers</w:t>
            </w:r>
          </w:p>
          <w:p w14:paraId="635D056A" w14:textId="0AD33C0E" w:rsidR="00496F61" w:rsidRPr="00402AF7" w:rsidRDefault="00FD6629" w:rsidP="00FD6629">
            <w:pPr>
              <w:spacing w:after="60"/>
            </w:pPr>
            <w:r>
              <w:rPr>
                <w:rFonts w:eastAsia="Arial" w:cs="Arial"/>
              </w:rPr>
              <w:t>• Writers and Authors</w:t>
            </w:r>
          </w:p>
        </w:tc>
        <w:tc>
          <w:tcPr>
            <w:tcW w:w="234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tcPr>
          <w:p w14:paraId="47E9654A" w14:textId="77777777" w:rsidR="00496F61" w:rsidRPr="00402AF7" w:rsidRDefault="00496F61" w:rsidP="006C151B">
            <w:pPr>
              <w:spacing w:after="60"/>
            </w:pPr>
            <w:r>
              <w:rPr>
                <w:rFonts w:eastAsia="Arial" w:cs="Arial"/>
              </w:rPr>
              <w:t>•  Computer Occupations, All Other</w:t>
            </w:r>
          </w:p>
          <w:p w14:paraId="02A5A421" w14:textId="77777777" w:rsidR="00496F61" w:rsidRPr="00402AF7" w:rsidRDefault="00496F61" w:rsidP="006C151B">
            <w:pPr>
              <w:spacing w:after="60"/>
            </w:pPr>
            <w:r>
              <w:rPr>
                <w:rFonts w:eastAsia="Arial" w:cs="Arial"/>
              </w:rPr>
              <w:t>•  Software Developers</w:t>
            </w:r>
          </w:p>
          <w:p w14:paraId="279639B1" w14:textId="77777777" w:rsidR="00496F61" w:rsidRPr="00402AF7" w:rsidRDefault="00496F61" w:rsidP="006C151B">
            <w:pPr>
              <w:spacing w:after="60"/>
            </w:pPr>
            <w:r>
              <w:rPr>
                <w:rFonts w:eastAsia="Arial" w:cs="Arial"/>
              </w:rPr>
              <w:t>•  Information Security Analysts</w:t>
            </w:r>
          </w:p>
          <w:p w14:paraId="492FFB84" w14:textId="77777777" w:rsidR="00496F61" w:rsidRPr="00402AF7" w:rsidRDefault="00496F61" w:rsidP="006C151B">
            <w:pPr>
              <w:spacing w:after="60"/>
            </w:pPr>
            <w:r>
              <w:rPr>
                <w:rFonts w:eastAsia="Arial" w:cs="Arial"/>
              </w:rPr>
              <w:t>•  Computer Network Architects</w:t>
            </w:r>
          </w:p>
          <w:p w14:paraId="50D0DAFB" w14:textId="77777777" w:rsidR="00496F61" w:rsidRPr="00402AF7" w:rsidRDefault="00496F61" w:rsidP="006C151B">
            <w:pPr>
              <w:spacing w:after="60"/>
            </w:pPr>
            <w:r>
              <w:rPr>
                <w:rFonts w:eastAsia="Arial" w:cs="Arial"/>
              </w:rPr>
              <w:t>•  Network and Computer Systems Administrators</w:t>
            </w:r>
          </w:p>
          <w:p w14:paraId="776DBBD4" w14:textId="77777777" w:rsidR="00496F61" w:rsidRPr="00402AF7" w:rsidRDefault="00496F61" w:rsidP="006C151B">
            <w:pPr>
              <w:spacing w:after="60"/>
            </w:pPr>
            <w:r>
              <w:rPr>
                <w:rFonts w:eastAsia="Arial" w:cs="Arial"/>
              </w:rPr>
              <w:t>•  Computer Programmers</w:t>
            </w:r>
          </w:p>
        </w:tc>
        <w:tc>
          <w:tcPr>
            <w:tcW w:w="234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tcPr>
          <w:p w14:paraId="3617070A" w14:textId="77777777" w:rsidR="00496F61" w:rsidRPr="00402AF7" w:rsidRDefault="00496F61" w:rsidP="006C151B">
            <w:pPr>
              <w:spacing w:after="60"/>
            </w:pPr>
            <w:r>
              <w:rPr>
                <w:rFonts w:eastAsia="Arial" w:cs="Arial"/>
              </w:rPr>
              <w:t>•  Computer Science</w:t>
            </w:r>
          </w:p>
          <w:p w14:paraId="47CB9C64" w14:textId="77777777" w:rsidR="00496F61" w:rsidRPr="00402AF7" w:rsidRDefault="00496F61" w:rsidP="006C151B">
            <w:pPr>
              <w:spacing w:after="60"/>
            </w:pPr>
            <w:r>
              <w:rPr>
                <w:rFonts w:eastAsia="Arial" w:cs="Arial"/>
              </w:rPr>
              <w:t>•  Agile Methodology</w:t>
            </w:r>
          </w:p>
          <w:p w14:paraId="693B8337" w14:textId="77777777" w:rsidR="00496F61" w:rsidRPr="00402AF7" w:rsidRDefault="00496F61" w:rsidP="006C151B">
            <w:pPr>
              <w:spacing w:after="60"/>
            </w:pPr>
            <w:r>
              <w:rPr>
                <w:rFonts w:eastAsia="Arial" w:cs="Arial"/>
              </w:rPr>
              <w:t>•  Automation</w:t>
            </w:r>
          </w:p>
          <w:p w14:paraId="2B25BB7C" w14:textId="77777777" w:rsidR="00496F61" w:rsidRPr="00402AF7" w:rsidRDefault="00496F61" w:rsidP="006C151B">
            <w:pPr>
              <w:spacing w:after="60"/>
            </w:pPr>
            <w:r>
              <w:rPr>
                <w:rFonts w:eastAsia="Arial" w:cs="Arial"/>
              </w:rPr>
              <w:t>•  Cyber Security</w:t>
            </w:r>
          </w:p>
          <w:p w14:paraId="61964A1A" w14:textId="77777777" w:rsidR="00496F61" w:rsidRPr="00402AF7" w:rsidRDefault="00496F61" w:rsidP="006C151B">
            <w:pPr>
              <w:spacing w:after="60"/>
            </w:pPr>
            <w:r>
              <w:rPr>
                <w:rFonts w:eastAsia="Arial" w:cs="Arial"/>
              </w:rPr>
              <w:t>•  SQL (Programming Language)</w:t>
            </w:r>
          </w:p>
          <w:p w14:paraId="5DA5C147" w14:textId="77777777" w:rsidR="00496F61" w:rsidRPr="00402AF7" w:rsidRDefault="00496F61" w:rsidP="006C151B">
            <w:pPr>
              <w:spacing w:after="60"/>
            </w:pPr>
            <w:r>
              <w:rPr>
                <w:rFonts w:eastAsia="Arial" w:cs="Arial"/>
              </w:rPr>
              <w:t>•  Systems Engineering</w:t>
            </w:r>
          </w:p>
          <w:p w14:paraId="3AF4A7F8" w14:textId="77777777" w:rsidR="00496F61" w:rsidRPr="00402AF7" w:rsidRDefault="00496F61" w:rsidP="006C151B">
            <w:pPr>
              <w:spacing w:after="60"/>
            </w:pPr>
            <w:r>
              <w:rPr>
                <w:rFonts w:eastAsia="Arial" w:cs="Arial"/>
              </w:rPr>
              <w:t>•  Operating Systems</w:t>
            </w:r>
          </w:p>
        </w:tc>
        <w:tc>
          <w:tcPr>
            <w:tcW w:w="234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tcPr>
          <w:p w14:paraId="7A605F90" w14:textId="77777777" w:rsidR="00496F61" w:rsidRPr="00402AF7" w:rsidRDefault="00496F61" w:rsidP="006C151B">
            <w:pPr>
              <w:spacing w:after="60"/>
            </w:pPr>
            <w:r>
              <w:rPr>
                <w:rFonts w:eastAsia="Arial" w:cs="Arial"/>
              </w:rPr>
              <w:t>•  CompTIA Network+</w:t>
            </w:r>
          </w:p>
          <w:p w14:paraId="56DCB381" w14:textId="77777777" w:rsidR="00496F61" w:rsidRPr="00402AF7" w:rsidRDefault="00496F61" w:rsidP="006C151B">
            <w:pPr>
              <w:spacing w:after="60"/>
            </w:pPr>
            <w:r>
              <w:rPr>
                <w:rFonts w:eastAsia="Arial" w:cs="Arial"/>
              </w:rPr>
              <w:t>•  AWS Certified Solutions Architect — Associate</w:t>
            </w:r>
          </w:p>
          <w:p w14:paraId="6BDF309B" w14:textId="77777777" w:rsidR="00496F61" w:rsidRPr="00402AF7" w:rsidRDefault="00496F61" w:rsidP="006C151B">
            <w:pPr>
              <w:spacing w:after="60"/>
            </w:pPr>
            <w:r>
              <w:rPr>
                <w:rFonts w:eastAsia="Arial" w:cs="Arial"/>
              </w:rPr>
              <w:t>•  Microsoft Certified: Azure Developer Associate</w:t>
            </w:r>
          </w:p>
          <w:p w14:paraId="6C5894DB" w14:textId="77777777" w:rsidR="00496F61" w:rsidRPr="00402AF7" w:rsidRDefault="00496F61" w:rsidP="006C151B">
            <w:pPr>
              <w:spacing w:after="60"/>
            </w:pPr>
            <w:r>
              <w:rPr>
                <w:rFonts w:eastAsia="Arial" w:cs="Arial"/>
              </w:rPr>
              <w:t>•  ITIL Foundation Certification</w:t>
            </w:r>
          </w:p>
          <w:p w14:paraId="1D537ACA" w14:textId="77777777" w:rsidR="00496F61" w:rsidRPr="00402AF7" w:rsidRDefault="00496F61" w:rsidP="006C151B">
            <w:pPr>
              <w:spacing w:after="60"/>
            </w:pPr>
            <w:r>
              <w:rPr>
                <w:rFonts w:eastAsia="Arial" w:cs="Arial"/>
              </w:rPr>
              <w:t>•  Certified Scrum Master (CSM)</w:t>
            </w:r>
          </w:p>
          <w:p w14:paraId="269A5A25" w14:textId="77777777" w:rsidR="00496F61" w:rsidRPr="00402AF7" w:rsidRDefault="00496F61" w:rsidP="006C151B">
            <w:pPr>
              <w:spacing w:after="60"/>
            </w:pPr>
            <w:r>
              <w:rPr>
                <w:rFonts w:eastAsia="Arial" w:cs="Arial"/>
              </w:rPr>
              <w:t>•  CompTIA Security+</w:t>
            </w:r>
          </w:p>
          <w:p w14:paraId="147E214E" w14:textId="6FA2DFBA" w:rsidR="00496F61" w:rsidRPr="00402AF7" w:rsidRDefault="00496F61" w:rsidP="006C151B">
            <w:pPr>
              <w:spacing w:after="60"/>
            </w:pPr>
            <w:r>
              <w:rPr>
                <w:rFonts w:eastAsia="Arial" w:cs="Arial"/>
              </w:rPr>
              <w:t>•  Certified Information Systems Security Professional (CISSP)</w:t>
            </w:r>
          </w:p>
        </w:tc>
      </w:tr>
    </w:tbl>
    <w:p w14:paraId="43C4F11B" w14:textId="77777777" w:rsidR="00496F61" w:rsidRDefault="00496F61" w:rsidP="00496F61">
      <w:pPr>
        <w:spacing w:after="80"/>
      </w:pPr>
    </w:p>
    <w:p w14:paraId="4C128C2F" w14:textId="797F5C41" w:rsidR="008B3DE6" w:rsidRDefault="008B3DE6" w:rsidP="008B3DE6">
      <w:pPr>
        <w:pStyle w:val="Heading4"/>
      </w:pPr>
      <w:r>
        <w:lastRenderedPageBreak/>
        <w:t>Project &amp; Operations Management</w:t>
      </w:r>
    </w:p>
    <w:p w14:paraId="12546492" w14:textId="77777777" w:rsidR="00496F61" w:rsidRDefault="00496F61" w:rsidP="00496F61">
      <w:pPr>
        <w:spacing w:after="140"/>
        <w:jc w:val="both"/>
      </w:pPr>
      <w:r>
        <w:t>The largest single pathway by number of transition pairs, this type captures workers who move from a wide range of occupational backgrounds into project management, logistics management, industrial engineering, and management analysis roles. The common thread is not occupational similarity but the acquisition of process management credentials — primarily the PMP (Project Management Professional) and related certifications — that signal transferable organisational capability regardless of prior sector. This is the most sector-agnostic pathway in the typology.</w:t>
      </w:r>
    </w:p>
    <w:p w14:paraId="15495F36" w14:textId="331F2F41" w:rsidR="008B3DE6" w:rsidRDefault="00013D53" w:rsidP="00496F61">
      <w:pPr>
        <w:spacing w:after="140"/>
        <w:jc w:val="both"/>
      </w:pPr>
      <w:r>
        <w:t>PMP and related credentials are relatively affordable and widely available online, though workers in most stranded roles will need to begin with a lower-barrier entry-level credential. The key policy levers are twofold: sector-specific credential mapping (ensuring that healthcare, logistics, and manufacturing employers identify which credentials actively open specific roles) and employer partnerships that create explicit hiring commitments for credential-holders from non-traditional backgrounds.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496F61" w14:paraId="43CECC4D" w14:textId="77777777" w:rsidTr="006C151B">
        <w:tc>
          <w:tcPr>
            <w:tcW w:w="2340" w:type="dxa"/>
            <w:tcBorders>
              <w:top w:val="single" w:sz="4" w:space="0" w:color="BBBBBB"/>
              <w:left w:val="single" w:sz="4" w:space="0" w:color="BBBBBB"/>
              <w:bottom w:val="single" w:sz="4" w:space="0" w:color="BBBBBB"/>
              <w:right w:val="single" w:sz="4" w:space="0" w:color="BBBBBB"/>
            </w:tcBorders>
            <w:shd w:val="clear" w:color="auto" w:fill="2E75B6"/>
            <w:tcMar>
              <w:top w:w="80" w:type="dxa"/>
              <w:left w:w="140" w:type="dxa"/>
              <w:bottom w:w="80" w:type="dxa"/>
              <w:right w:w="140" w:type="dxa"/>
            </w:tcMar>
          </w:tcPr>
          <w:p w14:paraId="4AA2E12C" w14:textId="77777777" w:rsidR="00496F61" w:rsidRPr="008B3DE6" w:rsidRDefault="00496F61" w:rsidP="006C151B">
            <w:pPr>
              <w:jc w:val="center"/>
            </w:pPr>
            <w:r>
              <w:rPr>
                <w:rFonts w:eastAsia="Arial" w:cs="Arial"/>
                <w:b/>
                <w:bCs/>
                <w:color w:val="FFFFFF"/>
              </w:rPr>
              <w:t>Typical Origin Occupations</w:t>
            </w:r>
          </w:p>
        </w:tc>
        <w:tc>
          <w:tcPr>
            <w:tcW w:w="2340" w:type="dxa"/>
            <w:tcBorders>
              <w:top w:val="single" w:sz="4" w:space="0" w:color="BBBBBB"/>
              <w:left w:val="single" w:sz="4" w:space="0" w:color="BBBBBB"/>
              <w:bottom w:val="single" w:sz="4" w:space="0" w:color="BBBBBB"/>
              <w:right w:val="single" w:sz="4" w:space="0" w:color="BBBBBB"/>
            </w:tcBorders>
            <w:shd w:val="clear" w:color="auto" w:fill="2E75B6"/>
            <w:tcMar>
              <w:top w:w="80" w:type="dxa"/>
              <w:left w:w="140" w:type="dxa"/>
              <w:bottom w:w="80" w:type="dxa"/>
              <w:right w:w="140" w:type="dxa"/>
            </w:tcMar>
          </w:tcPr>
          <w:p w14:paraId="65A52E4C" w14:textId="77777777" w:rsidR="00496F61" w:rsidRPr="008B3DE6" w:rsidRDefault="00496F61" w:rsidP="006C151B">
            <w:pPr>
              <w:jc w:val="center"/>
            </w:pPr>
            <w:r>
              <w:rPr>
                <w:rFonts w:eastAsia="Arial" w:cs="Arial"/>
                <w:b/>
                <w:bCs/>
                <w:color w:val="FFFFFF"/>
              </w:rPr>
              <w:t>Typical Destination Occupations</w:t>
            </w:r>
          </w:p>
        </w:tc>
        <w:tc>
          <w:tcPr>
            <w:tcW w:w="2340" w:type="dxa"/>
            <w:tcBorders>
              <w:top w:val="single" w:sz="4" w:space="0" w:color="BBBBBB"/>
              <w:left w:val="single" w:sz="4" w:space="0" w:color="BBBBBB"/>
              <w:bottom w:val="single" w:sz="4" w:space="0" w:color="BBBBBB"/>
              <w:right w:val="single" w:sz="4" w:space="0" w:color="BBBBBB"/>
            </w:tcBorders>
            <w:shd w:val="clear" w:color="auto" w:fill="2E75B6"/>
            <w:tcMar>
              <w:top w:w="80" w:type="dxa"/>
              <w:left w:w="140" w:type="dxa"/>
              <w:bottom w:w="80" w:type="dxa"/>
              <w:right w:w="140" w:type="dxa"/>
            </w:tcMar>
          </w:tcPr>
          <w:p w14:paraId="0CEE073C" w14:textId="77777777" w:rsidR="00496F61" w:rsidRPr="008B3DE6" w:rsidRDefault="00496F61" w:rsidP="006C151B">
            <w:pPr>
              <w:jc w:val="center"/>
            </w:pPr>
            <w:r>
              <w:rPr>
                <w:rFonts w:eastAsia="Arial" w:cs="Arial"/>
                <w:b/>
                <w:bCs/>
                <w:color w:val="FFFFFF"/>
              </w:rPr>
              <w:t>Key Skills Required</w:t>
            </w:r>
          </w:p>
        </w:tc>
        <w:tc>
          <w:tcPr>
            <w:tcW w:w="2340" w:type="dxa"/>
            <w:tcBorders>
              <w:top w:val="single" w:sz="4" w:space="0" w:color="BBBBBB"/>
              <w:left w:val="single" w:sz="4" w:space="0" w:color="BBBBBB"/>
              <w:bottom w:val="single" w:sz="4" w:space="0" w:color="BBBBBB"/>
              <w:right w:val="single" w:sz="4" w:space="0" w:color="BBBBBB"/>
            </w:tcBorders>
            <w:shd w:val="clear" w:color="auto" w:fill="2E75B6"/>
            <w:tcMar>
              <w:top w:w="80" w:type="dxa"/>
              <w:left w:w="140" w:type="dxa"/>
              <w:bottom w:w="80" w:type="dxa"/>
              <w:right w:w="140" w:type="dxa"/>
            </w:tcMar>
          </w:tcPr>
          <w:p w14:paraId="2298324F" w14:textId="15976927" w:rsidR="00496F61" w:rsidRPr="008B3DE6" w:rsidRDefault="00496F61" w:rsidP="006C151B">
            <w:pPr>
              <w:jc w:val="center"/>
            </w:pPr>
            <w:r>
              <w:rPr>
                <w:rFonts w:eastAsia="Arial" w:cs="Arial"/>
                <w:b/>
                <w:bCs/>
                <w:color w:val="FFFFFF"/>
              </w:rPr>
              <w:t>Key Credentials / Licenses</w:t>
            </w:r>
          </w:p>
        </w:tc>
      </w:tr>
      <w:tr w:rsidR="00496F61" w14:paraId="00DDB2FE" w14:textId="77777777" w:rsidTr="006C151B">
        <w:tc>
          <w:tcPr>
            <w:tcW w:w="234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tcPr>
          <w:p w14:paraId="6F808A60" w14:textId="77777777" w:rsidR="00496F61" w:rsidRPr="008B3DE6" w:rsidRDefault="00496F61" w:rsidP="006C151B">
            <w:pPr>
              <w:spacing w:after="60"/>
            </w:pPr>
            <w:r>
              <w:rPr>
                <w:rFonts w:eastAsia="Arial" w:cs="Arial"/>
              </w:rPr>
              <w:t>•  Production, Planning, and Expediting Clerks</w:t>
            </w:r>
          </w:p>
          <w:p w14:paraId="45D07B43" w14:textId="77777777" w:rsidR="00496F61" w:rsidRPr="008B3DE6" w:rsidRDefault="00496F61" w:rsidP="006C151B">
            <w:pPr>
              <w:spacing w:after="60"/>
            </w:pPr>
            <w:r>
              <w:rPr>
                <w:rFonts w:eastAsia="Arial" w:cs="Arial"/>
              </w:rPr>
              <w:t>•  Packaging and Filling Machine Operators</w:t>
            </w:r>
          </w:p>
          <w:p w14:paraId="6A158F94" w14:textId="77777777" w:rsidR="00496F61" w:rsidRPr="008B3DE6" w:rsidRDefault="00496F61" w:rsidP="006C151B">
            <w:pPr>
              <w:spacing w:after="60"/>
            </w:pPr>
            <w:r>
              <w:rPr>
                <w:rFonts w:eastAsia="Arial" w:cs="Arial"/>
              </w:rPr>
              <w:t>•  Inspectors, Testers, Sorters, Samplers, and Weighers</w:t>
            </w:r>
          </w:p>
          <w:p w14:paraId="58322397" w14:textId="77777777" w:rsidR="00496F61" w:rsidRPr="008B3DE6" w:rsidRDefault="00496F61" w:rsidP="006C151B">
            <w:pPr>
              <w:spacing w:after="60"/>
            </w:pPr>
            <w:r>
              <w:rPr>
                <w:rFonts w:eastAsia="Arial" w:cs="Arial"/>
              </w:rPr>
              <w:t>•  Laborers and Freight, Stock, and Material Movers</w:t>
            </w:r>
          </w:p>
          <w:p w14:paraId="168C373E" w14:textId="77777777" w:rsidR="00496F61" w:rsidRPr="008B3DE6" w:rsidRDefault="00496F61" w:rsidP="006C151B">
            <w:pPr>
              <w:spacing w:after="60"/>
            </w:pPr>
            <w:r>
              <w:rPr>
                <w:rFonts w:eastAsia="Arial" w:cs="Arial"/>
              </w:rPr>
              <w:t>•  Misc. Production Workers</w:t>
            </w:r>
          </w:p>
          <w:p w14:paraId="1C3001C5" w14:textId="77777777" w:rsidR="00496F61" w:rsidRPr="008B3DE6" w:rsidRDefault="00496F61" w:rsidP="006C151B">
            <w:pPr>
              <w:spacing w:after="60"/>
            </w:pPr>
            <w:r>
              <w:rPr>
                <w:rFonts w:eastAsia="Arial" w:cs="Arial"/>
              </w:rPr>
              <w:t>•  Accountants and Auditors</w:t>
            </w:r>
          </w:p>
        </w:tc>
        <w:tc>
          <w:tcPr>
            <w:tcW w:w="234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tcPr>
          <w:p w14:paraId="6F5730B4" w14:textId="77777777" w:rsidR="00496F61" w:rsidRPr="008B3DE6" w:rsidRDefault="00496F61" w:rsidP="006C151B">
            <w:pPr>
              <w:spacing w:after="60"/>
            </w:pPr>
            <w:r>
              <w:rPr>
                <w:rFonts w:eastAsia="Arial" w:cs="Arial"/>
              </w:rPr>
              <w:t>•  Project Management Specialists</w:t>
            </w:r>
          </w:p>
          <w:p w14:paraId="78C0978A" w14:textId="77777777" w:rsidR="00496F61" w:rsidRPr="008B3DE6" w:rsidRDefault="00496F61" w:rsidP="006C151B">
            <w:pPr>
              <w:spacing w:after="60"/>
            </w:pPr>
            <w:r>
              <w:rPr>
                <w:rFonts w:eastAsia="Arial" w:cs="Arial"/>
              </w:rPr>
              <w:t>•  Industrial Engineers</w:t>
            </w:r>
          </w:p>
          <w:p w14:paraId="0F827316" w14:textId="77777777" w:rsidR="00496F61" w:rsidRPr="008B3DE6" w:rsidRDefault="00496F61" w:rsidP="006C151B">
            <w:pPr>
              <w:spacing w:after="60"/>
            </w:pPr>
            <w:r>
              <w:rPr>
                <w:rFonts w:eastAsia="Arial" w:cs="Arial"/>
              </w:rPr>
              <w:t>•  Management Analysts</w:t>
            </w:r>
          </w:p>
          <w:p w14:paraId="1A85C07A" w14:textId="77777777" w:rsidR="00496F61" w:rsidRPr="008B3DE6" w:rsidRDefault="00496F61" w:rsidP="006C151B">
            <w:pPr>
              <w:spacing w:after="60"/>
            </w:pPr>
            <w:r>
              <w:rPr>
                <w:rFonts w:eastAsia="Arial" w:cs="Arial"/>
              </w:rPr>
              <w:t>•  Logisticians</w:t>
            </w:r>
          </w:p>
          <w:p w14:paraId="1835C59D" w14:textId="77777777" w:rsidR="00496F61" w:rsidRPr="008B3DE6" w:rsidRDefault="00496F61" w:rsidP="006C151B">
            <w:pPr>
              <w:spacing w:after="60"/>
            </w:pPr>
            <w:r>
              <w:rPr>
                <w:rFonts w:eastAsia="Arial" w:cs="Arial"/>
              </w:rPr>
              <w:t>•  First-Line Supervisors of Production and Operating Workers</w:t>
            </w:r>
          </w:p>
        </w:tc>
        <w:tc>
          <w:tcPr>
            <w:tcW w:w="234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tcPr>
          <w:p w14:paraId="1BF37CCB" w14:textId="77777777" w:rsidR="00496F61" w:rsidRPr="008B3DE6" w:rsidRDefault="00496F61" w:rsidP="006C151B">
            <w:pPr>
              <w:spacing w:after="60"/>
            </w:pPr>
            <w:r>
              <w:rPr>
                <w:rFonts w:eastAsia="Arial" w:cs="Arial"/>
              </w:rPr>
              <w:t>•  Project Management</w:t>
            </w:r>
          </w:p>
          <w:p w14:paraId="61EAE1D6" w14:textId="77777777" w:rsidR="00496F61" w:rsidRPr="008B3DE6" w:rsidRDefault="00496F61" w:rsidP="006C151B">
            <w:pPr>
              <w:spacing w:after="60"/>
            </w:pPr>
            <w:r>
              <w:rPr>
                <w:rFonts w:eastAsia="Arial" w:cs="Arial"/>
              </w:rPr>
              <w:t>•  Construction Management</w:t>
            </w:r>
          </w:p>
          <w:p w14:paraId="0AE6CBBA" w14:textId="77777777" w:rsidR="00496F61" w:rsidRPr="008B3DE6" w:rsidRDefault="00496F61" w:rsidP="006C151B">
            <w:pPr>
              <w:spacing w:after="60"/>
            </w:pPr>
            <w:r>
              <w:rPr>
                <w:rFonts w:eastAsia="Arial" w:cs="Arial"/>
              </w:rPr>
              <w:t>•  Subcontracting</w:t>
            </w:r>
          </w:p>
          <w:p w14:paraId="53225125" w14:textId="77777777" w:rsidR="00496F61" w:rsidRPr="008B3DE6" w:rsidRDefault="00496F61" w:rsidP="006C151B">
            <w:pPr>
              <w:spacing w:after="60"/>
            </w:pPr>
            <w:r>
              <w:rPr>
                <w:rFonts w:eastAsia="Arial" w:cs="Arial"/>
              </w:rPr>
              <w:t>•  Change Orders</w:t>
            </w:r>
          </w:p>
          <w:p w14:paraId="668FE995" w14:textId="77777777" w:rsidR="00496F61" w:rsidRPr="008B3DE6" w:rsidRDefault="00496F61" w:rsidP="006C151B">
            <w:pPr>
              <w:spacing w:after="60"/>
            </w:pPr>
            <w:r>
              <w:rPr>
                <w:rFonts w:eastAsia="Arial" w:cs="Arial"/>
              </w:rPr>
              <w:t>•  Microsoft Project</w:t>
            </w:r>
          </w:p>
          <w:p w14:paraId="3A00DD9C" w14:textId="77777777" w:rsidR="00496F61" w:rsidRPr="008B3DE6" w:rsidRDefault="00496F61" w:rsidP="006C151B">
            <w:pPr>
              <w:spacing w:after="60"/>
            </w:pPr>
            <w:r>
              <w:rPr>
                <w:rFonts w:eastAsia="Arial" w:cs="Arial"/>
              </w:rPr>
              <w:t>•  Environment Health and Safety</w:t>
            </w:r>
          </w:p>
          <w:p w14:paraId="4E427367" w14:textId="77777777" w:rsidR="00496F61" w:rsidRPr="008B3DE6" w:rsidRDefault="00496F61" w:rsidP="006C151B">
            <w:pPr>
              <w:spacing w:after="60"/>
            </w:pPr>
            <w:r>
              <w:rPr>
                <w:rFonts w:eastAsia="Arial" w:cs="Arial"/>
              </w:rPr>
              <w:t>•  Business Analysis</w:t>
            </w:r>
          </w:p>
        </w:tc>
        <w:tc>
          <w:tcPr>
            <w:tcW w:w="234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tcPr>
          <w:p w14:paraId="526329D5" w14:textId="77777777" w:rsidR="00496F61" w:rsidRPr="008B3DE6" w:rsidRDefault="00496F61" w:rsidP="006C151B">
            <w:pPr>
              <w:spacing w:after="60"/>
            </w:pPr>
            <w:r>
              <w:rPr>
                <w:rFonts w:eastAsia="Arial" w:cs="Arial"/>
              </w:rPr>
              <w:t>•  Project Management Professional (PMP)</w:t>
            </w:r>
          </w:p>
          <w:p w14:paraId="66520611" w14:textId="77777777" w:rsidR="00496F61" w:rsidRPr="008B3DE6" w:rsidRDefault="00496F61" w:rsidP="006C151B">
            <w:pPr>
              <w:spacing w:after="60"/>
            </w:pPr>
            <w:r>
              <w:rPr>
                <w:rFonts w:eastAsia="Arial" w:cs="Arial"/>
              </w:rPr>
              <w:t>•  Lean Six Sigma Green Belt</w:t>
            </w:r>
          </w:p>
          <w:p w14:paraId="73BF973C" w14:textId="77777777" w:rsidR="00496F61" w:rsidRPr="008B3DE6" w:rsidRDefault="00496F61" w:rsidP="006C151B">
            <w:pPr>
              <w:spacing w:after="60"/>
            </w:pPr>
            <w:r>
              <w:rPr>
                <w:rFonts w:eastAsia="Arial" w:cs="Arial"/>
              </w:rPr>
              <w:t>•  Certified Associate in Project Management (CAPM)</w:t>
            </w:r>
          </w:p>
          <w:p w14:paraId="1819C991" w14:textId="77777777" w:rsidR="00496F61" w:rsidRPr="008B3DE6" w:rsidRDefault="00496F61" w:rsidP="006C151B">
            <w:pPr>
              <w:spacing w:after="60"/>
            </w:pPr>
            <w:r>
              <w:rPr>
                <w:rFonts w:eastAsia="Arial" w:cs="Arial"/>
              </w:rPr>
              <w:t>•  Certified Scrum Master (CSM)</w:t>
            </w:r>
          </w:p>
          <w:p w14:paraId="30568164" w14:textId="77777777" w:rsidR="00496F61" w:rsidRPr="008B3DE6" w:rsidRDefault="00496F61" w:rsidP="006C151B">
            <w:pPr>
              <w:spacing w:after="60"/>
            </w:pPr>
            <w:r>
              <w:rPr>
                <w:rFonts w:eastAsia="Arial" w:cs="Arial"/>
              </w:rPr>
              <w:t>•  Certified Quality Engineer (CQE)</w:t>
            </w:r>
          </w:p>
          <w:p w14:paraId="01AE9846" w14:textId="77777777" w:rsidR="00496F61" w:rsidRPr="008B3DE6" w:rsidRDefault="00496F61" w:rsidP="006C151B">
            <w:pPr>
              <w:spacing w:after="60"/>
            </w:pPr>
            <w:r>
              <w:rPr>
                <w:rFonts w:eastAsia="Arial" w:cs="Arial"/>
              </w:rPr>
              <w:t>•  Certified Supply Chain Professional (CSCP)</w:t>
            </w:r>
          </w:p>
          <w:p w14:paraId="019C79E5" w14:textId="7DFF028A" w:rsidR="00496F61" w:rsidRPr="008B3DE6" w:rsidRDefault="00496F61" w:rsidP="006C151B">
            <w:pPr>
              <w:spacing w:after="60"/>
            </w:pPr>
            <w:r>
              <w:rPr>
                <w:rFonts w:eastAsia="Arial" w:cs="Arial"/>
              </w:rPr>
              <w:t>•  OSHA 30-Hour General Industry Safety</w:t>
            </w:r>
          </w:p>
        </w:tc>
      </w:tr>
    </w:tbl>
    <w:p w14:paraId="54285B9E" w14:textId="77777777" w:rsidR="00496F61" w:rsidRDefault="00496F61" w:rsidP="00496F61">
      <w:pPr>
        <w:spacing w:after="80"/>
      </w:pPr>
    </w:p>
    <w:p w14:paraId="12C73228" w14:textId="67DBDF6F" w:rsidR="00496F61" w:rsidRDefault="00013D53" w:rsidP="00013D53">
      <w:pPr>
        <w:pStyle w:val="Heading4"/>
      </w:pPr>
      <w:r>
        <w:lastRenderedPageBreak/>
        <w:t>Professional &amp; Financial Services</w:t>
      </w:r>
    </w:p>
    <w:p w14:paraId="7EDBF135" w14:textId="56888F62" w:rsidR="00496F61" w:rsidRDefault="00496F61" w:rsidP="00496F61">
      <w:pPr>
        <w:spacing w:after="140"/>
        <w:jc w:val="both"/>
      </w:pPr>
      <w:r>
        <w:t xml:space="preserve">The highest </w:t>
      </w:r>
      <w:proofErr w:type="spellStart"/>
      <w:r>
        <w:t>strandedness</w:t>
      </w:r>
      <w:proofErr w:type="spellEnd"/>
      <w:r>
        <w:t xml:space="preserve">-reduction pathway in the typology, this type covers workers from service, administrative, retail, transport, and production occupations who transition into business, financial, and marketing roles. The high average </w:t>
      </w:r>
      <w:proofErr w:type="spellStart"/>
      <w:r>
        <w:t>strandedness</w:t>
      </w:r>
      <w:proofErr w:type="spellEnd"/>
      <w:r>
        <w:t xml:space="preserve"> reduction reflects the fact that origin occupations in this type tend to have very high </w:t>
      </w:r>
      <w:proofErr w:type="spellStart"/>
      <w:r>
        <w:t>strandedness</w:t>
      </w:r>
      <w:proofErr w:type="spellEnd"/>
      <w:r>
        <w:t xml:space="preserve"> rates (bookkeeping clerks, retail workers, food service) while destination occupations (accountants, financial advisors, market research analysts) have much lower rates. Key enabling credentials are professional financial licenses and digital marketing certifications.</w:t>
      </w:r>
    </w:p>
    <w:p w14:paraId="66BC888E" w14:textId="2A6C6704" w:rsidR="00013D53" w:rsidRDefault="00013D53" w:rsidP="00496F61">
      <w:pPr>
        <w:spacing w:after="140"/>
        <w:jc w:val="both"/>
      </w:pPr>
      <w:r>
        <w:t>Many workers in this pathway already have relevant experience (bookkeepers who need CPA, administrative staff who need HR certification). Stackable credential programmes that give academic credit for work experience would accelerate transitions. Tennessee's community college accounting and business programmes are well-positioned to serve this pathway.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496F61" w14:paraId="5C2C6195" w14:textId="77777777" w:rsidTr="006C151B">
        <w:tc>
          <w:tcPr>
            <w:tcW w:w="2340" w:type="dxa"/>
            <w:tcBorders>
              <w:top w:val="single" w:sz="4" w:space="0" w:color="BBBBBB"/>
              <w:left w:val="single" w:sz="4" w:space="0" w:color="BBBBBB"/>
              <w:bottom w:val="single" w:sz="4" w:space="0" w:color="BBBBBB"/>
              <w:right w:val="single" w:sz="4" w:space="0" w:color="BBBBBB"/>
            </w:tcBorders>
            <w:shd w:val="clear" w:color="auto" w:fill="2E75B6"/>
            <w:tcMar>
              <w:top w:w="80" w:type="dxa"/>
              <w:left w:w="140" w:type="dxa"/>
              <w:bottom w:w="80" w:type="dxa"/>
              <w:right w:w="140" w:type="dxa"/>
            </w:tcMar>
          </w:tcPr>
          <w:p w14:paraId="56C185CC" w14:textId="77777777" w:rsidR="00496F61" w:rsidRPr="00013D53" w:rsidRDefault="00496F61" w:rsidP="006C151B">
            <w:pPr>
              <w:jc w:val="center"/>
            </w:pPr>
            <w:r>
              <w:rPr>
                <w:rFonts w:eastAsia="Arial" w:cs="Arial"/>
                <w:b/>
                <w:bCs/>
                <w:color w:val="FFFFFF"/>
              </w:rPr>
              <w:t>Typical Origin Occupations</w:t>
            </w:r>
          </w:p>
        </w:tc>
        <w:tc>
          <w:tcPr>
            <w:tcW w:w="2340" w:type="dxa"/>
            <w:tcBorders>
              <w:top w:val="single" w:sz="4" w:space="0" w:color="BBBBBB"/>
              <w:left w:val="single" w:sz="4" w:space="0" w:color="BBBBBB"/>
              <w:bottom w:val="single" w:sz="4" w:space="0" w:color="BBBBBB"/>
              <w:right w:val="single" w:sz="4" w:space="0" w:color="BBBBBB"/>
            </w:tcBorders>
            <w:shd w:val="clear" w:color="auto" w:fill="2E75B6"/>
            <w:tcMar>
              <w:top w:w="80" w:type="dxa"/>
              <w:left w:w="140" w:type="dxa"/>
              <w:bottom w:w="80" w:type="dxa"/>
              <w:right w:w="140" w:type="dxa"/>
            </w:tcMar>
          </w:tcPr>
          <w:p w14:paraId="5936D393" w14:textId="77777777" w:rsidR="00496F61" w:rsidRPr="00013D53" w:rsidRDefault="00496F61" w:rsidP="006C151B">
            <w:pPr>
              <w:jc w:val="center"/>
            </w:pPr>
            <w:r>
              <w:rPr>
                <w:rFonts w:eastAsia="Arial" w:cs="Arial"/>
                <w:b/>
                <w:bCs/>
                <w:color w:val="FFFFFF"/>
              </w:rPr>
              <w:t>Typical Destination Occupations</w:t>
            </w:r>
          </w:p>
        </w:tc>
        <w:tc>
          <w:tcPr>
            <w:tcW w:w="2340" w:type="dxa"/>
            <w:tcBorders>
              <w:top w:val="single" w:sz="4" w:space="0" w:color="BBBBBB"/>
              <w:left w:val="single" w:sz="4" w:space="0" w:color="BBBBBB"/>
              <w:bottom w:val="single" w:sz="4" w:space="0" w:color="BBBBBB"/>
              <w:right w:val="single" w:sz="4" w:space="0" w:color="BBBBBB"/>
            </w:tcBorders>
            <w:shd w:val="clear" w:color="auto" w:fill="2E75B6"/>
            <w:tcMar>
              <w:top w:w="80" w:type="dxa"/>
              <w:left w:w="140" w:type="dxa"/>
              <w:bottom w:w="80" w:type="dxa"/>
              <w:right w:w="140" w:type="dxa"/>
            </w:tcMar>
          </w:tcPr>
          <w:p w14:paraId="275FA0E5" w14:textId="77777777" w:rsidR="00496F61" w:rsidRPr="00013D53" w:rsidRDefault="00496F61" w:rsidP="006C151B">
            <w:pPr>
              <w:jc w:val="center"/>
            </w:pPr>
            <w:r>
              <w:rPr>
                <w:rFonts w:eastAsia="Arial" w:cs="Arial"/>
                <w:b/>
                <w:bCs/>
                <w:color w:val="FFFFFF"/>
              </w:rPr>
              <w:t>Key Skills Required</w:t>
            </w:r>
          </w:p>
        </w:tc>
        <w:tc>
          <w:tcPr>
            <w:tcW w:w="2340" w:type="dxa"/>
            <w:tcBorders>
              <w:top w:val="single" w:sz="4" w:space="0" w:color="BBBBBB"/>
              <w:left w:val="single" w:sz="4" w:space="0" w:color="BBBBBB"/>
              <w:bottom w:val="single" w:sz="4" w:space="0" w:color="BBBBBB"/>
              <w:right w:val="single" w:sz="4" w:space="0" w:color="BBBBBB"/>
            </w:tcBorders>
            <w:shd w:val="clear" w:color="auto" w:fill="2E75B6"/>
            <w:tcMar>
              <w:top w:w="80" w:type="dxa"/>
              <w:left w:w="140" w:type="dxa"/>
              <w:bottom w:w="80" w:type="dxa"/>
              <w:right w:w="140" w:type="dxa"/>
            </w:tcMar>
          </w:tcPr>
          <w:p w14:paraId="1AAC39A6" w14:textId="46A80791" w:rsidR="00496F61" w:rsidRPr="00013D53" w:rsidRDefault="00496F61" w:rsidP="006C151B">
            <w:pPr>
              <w:jc w:val="center"/>
            </w:pPr>
            <w:r>
              <w:rPr>
                <w:rFonts w:eastAsia="Arial" w:cs="Arial"/>
                <w:b/>
                <w:bCs/>
                <w:color w:val="FFFFFF"/>
              </w:rPr>
              <w:t>Key Credentials / Licenses</w:t>
            </w:r>
          </w:p>
        </w:tc>
      </w:tr>
      <w:tr w:rsidR="00496F61" w14:paraId="4124CA93" w14:textId="77777777" w:rsidTr="006C151B">
        <w:tc>
          <w:tcPr>
            <w:tcW w:w="234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tcPr>
          <w:p w14:paraId="2DA86786" w14:textId="77777777" w:rsidR="00496F61" w:rsidRPr="00013D53" w:rsidRDefault="00496F61" w:rsidP="006C151B">
            <w:pPr>
              <w:spacing w:after="60"/>
            </w:pPr>
            <w:r>
              <w:rPr>
                <w:rFonts w:eastAsia="Arial" w:cs="Arial"/>
              </w:rPr>
              <w:t>•  Loan Interviewers and Clerks</w:t>
            </w:r>
          </w:p>
          <w:p w14:paraId="6AFCF1A6" w14:textId="77777777" w:rsidR="00496F61" w:rsidRPr="00013D53" w:rsidRDefault="00496F61" w:rsidP="006C151B">
            <w:pPr>
              <w:spacing w:after="60"/>
            </w:pPr>
            <w:r>
              <w:rPr>
                <w:rFonts w:eastAsia="Arial" w:cs="Arial"/>
              </w:rPr>
              <w:t>•  Real Estate Brokers and Sales Agents</w:t>
            </w:r>
          </w:p>
          <w:p w14:paraId="04CF54A3" w14:textId="77777777" w:rsidR="00496F61" w:rsidRPr="00013D53" w:rsidRDefault="00496F61" w:rsidP="006C151B">
            <w:pPr>
              <w:spacing w:after="60"/>
            </w:pPr>
            <w:r>
              <w:rPr>
                <w:rFonts w:eastAsia="Arial" w:cs="Arial"/>
              </w:rPr>
              <w:t>•  Tax Examiners and Collectors</w:t>
            </w:r>
          </w:p>
          <w:p w14:paraId="20EE9C73" w14:textId="77777777" w:rsidR="00496F61" w:rsidRPr="00013D53" w:rsidRDefault="00496F61" w:rsidP="006C151B">
            <w:pPr>
              <w:spacing w:after="60"/>
            </w:pPr>
            <w:r>
              <w:rPr>
                <w:rFonts w:eastAsia="Arial" w:cs="Arial"/>
              </w:rPr>
              <w:t>•  Bookkeeping, Accounting, and Auditing Clerks</w:t>
            </w:r>
          </w:p>
          <w:p w14:paraId="7CF4BA32" w14:textId="77777777" w:rsidR="00496F61" w:rsidRPr="00013D53" w:rsidRDefault="00496F61" w:rsidP="006C151B">
            <w:pPr>
              <w:spacing w:after="60"/>
            </w:pPr>
            <w:r>
              <w:rPr>
                <w:rFonts w:eastAsia="Arial" w:cs="Arial"/>
              </w:rPr>
              <w:t xml:space="preserve">•  Credit </w:t>
            </w:r>
            <w:proofErr w:type="spellStart"/>
            <w:r>
              <w:rPr>
                <w:rFonts w:eastAsia="Arial" w:cs="Arial"/>
              </w:rPr>
              <w:t>Counselors</w:t>
            </w:r>
            <w:proofErr w:type="spellEnd"/>
            <w:r>
              <w:rPr>
                <w:rFonts w:eastAsia="Arial" w:cs="Arial"/>
              </w:rPr>
              <w:t xml:space="preserve"> and Loan Officers</w:t>
            </w:r>
          </w:p>
          <w:p w14:paraId="539808DF" w14:textId="77777777" w:rsidR="00496F61" w:rsidRPr="00013D53" w:rsidRDefault="00496F61" w:rsidP="006C151B">
            <w:pPr>
              <w:spacing w:after="60"/>
            </w:pPr>
            <w:r>
              <w:rPr>
                <w:rFonts w:eastAsia="Arial" w:cs="Arial"/>
              </w:rPr>
              <w:t>•  Bill and Account Collectors</w:t>
            </w:r>
          </w:p>
        </w:tc>
        <w:tc>
          <w:tcPr>
            <w:tcW w:w="234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tcPr>
          <w:p w14:paraId="0D4C7EDD" w14:textId="77777777" w:rsidR="00496F61" w:rsidRPr="00013D53" w:rsidRDefault="00496F61" w:rsidP="006C151B">
            <w:pPr>
              <w:spacing w:after="60"/>
            </w:pPr>
            <w:r>
              <w:rPr>
                <w:rFonts w:eastAsia="Arial" w:cs="Arial"/>
              </w:rPr>
              <w:t>•  Market Research Analysts and Marketing Specialists</w:t>
            </w:r>
          </w:p>
          <w:p w14:paraId="0A9944D5" w14:textId="77777777" w:rsidR="00496F61" w:rsidRPr="00013D53" w:rsidRDefault="00496F61" w:rsidP="006C151B">
            <w:pPr>
              <w:spacing w:after="60"/>
            </w:pPr>
            <w:r>
              <w:rPr>
                <w:rFonts w:eastAsia="Arial" w:cs="Arial"/>
              </w:rPr>
              <w:t>•  Personal Financial Advisors</w:t>
            </w:r>
          </w:p>
          <w:p w14:paraId="34F24F7C" w14:textId="77777777" w:rsidR="00496F61" w:rsidRPr="00013D53" w:rsidRDefault="00496F61" w:rsidP="006C151B">
            <w:pPr>
              <w:spacing w:after="60"/>
            </w:pPr>
            <w:r>
              <w:rPr>
                <w:rFonts w:eastAsia="Arial" w:cs="Arial"/>
              </w:rPr>
              <w:t>•  Human Resources Workers</w:t>
            </w:r>
          </w:p>
          <w:p w14:paraId="4EE0130D" w14:textId="77777777" w:rsidR="00496F61" w:rsidRPr="00013D53" w:rsidRDefault="00496F61" w:rsidP="006C151B">
            <w:pPr>
              <w:spacing w:after="60"/>
            </w:pPr>
            <w:r>
              <w:rPr>
                <w:rFonts w:eastAsia="Arial" w:cs="Arial"/>
              </w:rPr>
              <w:t>•  Accountants and Auditors</w:t>
            </w:r>
          </w:p>
          <w:p w14:paraId="0547ACBF" w14:textId="77777777" w:rsidR="00496F61" w:rsidRPr="00013D53" w:rsidRDefault="00496F61" w:rsidP="006C151B">
            <w:pPr>
              <w:spacing w:after="60"/>
            </w:pPr>
            <w:r>
              <w:rPr>
                <w:rFonts w:eastAsia="Arial" w:cs="Arial"/>
              </w:rPr>
              <w:t>•  Financial and Investment Analysts</w:t>
            </w:r>
          </w:p>
          <w:p w14:paraId="29BAD8C1" w14:textId="77777777" w:rsidR="00496F61" w:rsidRPr="00013D53" w:rsidRDefault="00496F61" w:rsidP="006C151B">
            <w:pPr>
              <w:spacing w:after="60"/>
            </w:pPr>
            <w:r>
              <w:rPr>
                <w:rFonts w:eastAsia="Arial" w:cs="Arial"/>
              </w:rPr>
              <w:t>•  Cost Estimators</w:t>
            </w:r>
          </w:p>
        </w:tc>
        <w:tc>
          <w:tcPr>
            <w:tcW w:w="234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tcPr>
          <w:p w14:paraId="05F575CC" w14:textId="77777777" w:rsidR="00496F61" w:rsidRPr="00013D53" w:rsidRDefault="00496F61" w:rsidP="006C151B">
            <w:pPr>
              <w:spacing w:after="60"/>
            </w:pPr>
            <w:r>
              <w:rPr>
                <w:rFonts w:eastAsia="Arial" w:cs="Arial"/>
              </w:rPr>
              <w:t>•  Marketing</w:t>
            </w:r>
          </w:p>
          <w:p w14:paraId="001A34E4" w14:textId="77777777" w:rsidR="00496F61" w:rsidRPr="00013D53" w:rsidRDefault="00496F61" w:rsidP="006C151B">
            <w:pPr>
              <w:spacing w:after="60"/>
            </w:pPr>
            <w:r>
              <w:rPr>
                <w:rFonts w:eastAsia="Arial" w:cs="Arial"/>
              </w:rPr>
              <w:t>•  Investments</w:t>
            </w:r>
          </w:p>
          <w:p w14:paraId="086BBAF7" w14:textId="77777777" w:rsidR="00496F61" w:rsidRPr="00013D53" w:rsidRDefault="00496F61" w:rsidP="006C151B">
            <w:pPr>
              <w:spacing w:after="60"/>
            </w:pPr>
            <w:r>
              <w:rPr>
                <w:rFonts w:eastAsia="Arial" w:cs="Arial"/>
              </w:rPr>
              <w:t>•  Social Media</w:t>
            </w:r>
          </w:p>
          <w:p w14:paraId="27F048AF" w14:textId="77777777" w:rsidR="00496F61" w:rsidRPr="00013D53" w:rsidRDefault="00496F61" w:rsidP="006C151B">
            <w:pPr>
              <w:spacing w:after="60"/>
            </w:pPr>
            <w:r>
              <w:rPr>
                <w:rFonts w:eastAsia="Arial" w:cs="Arial"/>
              </w:rPr>
              <w:t>•  Accounting</w:t>
            </w:r>
          </w:p>
          <w:p w14:paraId="48213735" w14:textId="77777777" w:rsidR="00496F61" w:rsidRPr="00013D53" w:rsidRDefault="00496F61" w:rsidP="006C151B">
            <w:pPr>
              <w:spacing w:after="60"/>
            </w:pPr>
            <w:r>
              <w:rPr>
                <w:rFonts w:eastAsia="Arial" w:cs="Arial"/>
              </w:rPr>
              <w:t>•  Business Development</w:t>
            </w:r>
          </w:p>
          <w:p w14:paraId="3D4FCE73" w14:textId="77777777" w:rsidR="00496F61" w:rsidRPr="00013D53" w:rsidRDefault="00496F61" w:rsidP="006C151B">
            <w:pPr>
              <w:spacing w:after="60"/>
            </w:pPr>
            <w:r>
              <w:rPr>
                <w:rFonts w:eastAsia="Arial" w:cs="Arial"/>
              </w:rPr>
              <w:t>•  Financial Statements</w:t>
            </w:r>
          </w:p>
          <w:p w14:paraId="39AFDA02" w14:textId="77777777" w:rsidR="00496F61" w:rsidRPr="00013D53" w:rsidRDefault="00496F61" w:rsidP="006C151B">
            <w:pPr>
              <w:spacing w:after="60"/>
            </w:pPr>
            <w:r>
              <w:rPr>
                <w:rFonts w:eastAsia="Arial" w:cs="Arial"/>
              </w:rPr>
              <w:t>•  Generally Accepted Accounting Principles</w:t>
            </w:r>
          </w:p>
        </w:tc>
        <w:tc>
          <w:tcPr>
            <w:tcW w:w="234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tcPr>
          <w:p w14:paraId="3EFA3E11" w14:textId="4FF190AC" w:rsidR="00496F61" w:rsidRPr="00013D53" w:rsidRDefault="00496F61" w:rsidP="006C151B">
            <w:pPr>
              <w:spacing w:after="60"/>
            </w:pPr>
            <w:r>
              <w:rPr>
                <w:rFonts w:eastAsia="Arial" w:cs="Arial"/>
              </w:rPr>
              <w:t xml:space="preserve">•  Certified Public Accountant (CPA) </w:t>
            </w:r>
          </w:p>
          <w:p w14:paraId="2A4B5C77" w14:textId="77777777" w:rsidR="00496F61" w:rsidRPr="00013D53" w:rsidRDefault="00496F61" w:rsidP="006C151B">
            <w:pPr>
              <w:spacing w:after="60"/>
            </w:pPr>
            <w:r>
              <w:rPr>
                <w:rFonts w:eastAsia="Arial" w:cs="Arial"/>
              </w:rPr>
              <w:t>•  Certified Financial Planner (CFP)</w:t>
            </w:r>
          </w:p>
          <w:p w14:paraId="2826FDA0" w14:textId="77777777" w:rsidR="00496F61" w:rsidRPr="00013D53" w:rsidRDefault="00496F61" w:rsidP="006C151B">
            <w:pPr>
              <w:spacing w:after="60"/>
            </w:pPr>
            <w:r>
              <w:rPr>
                <w:rFonts w:eastAsia="Arial" w:cs="Arial"/>
              </w:rPr>
              <w:t>•  Series 7 (General Securities Representative)</w:t>
            </w:r>
          </w:p>
          <w:p w14:paraId="7ADCA608" w14:textId="77777777" w:rsidR="00496F61" w:rsidRPr="00013D53" w:rsidRDefault="00496F61" w:rsidP="006C151B">
            <w:pPr>
              <w:spacing w:after="60"/>
            </w:pPr>
            <w:r>
              <w:rPr>
                <w:rFonts w:eastAsia="Arial" w:cs="Arial"/>
              </w:rPr>
              <w:t>•  SHRM Certified Professional (SHRM-CP)</w:t>
            </w:r>
          </w:p>
          <w:p w14:paraId="7DDA88F9" w14:textId="77777777" w:rsidR="00496F61" w:rsidRPr="00013D53" w:rsidRDefault="00496F61" w:rsidP="006C151B">
            <w:pPr>
              <w:spacing w:after="60"/>
            </w:pPr>
            <w:r>
              <w:rPr>
                <w:rFonts w:eastAsia="Arial" w:cs="Arial"/>
              </w:rPr>
              <w:t>•  Professional in Human Resources (PHR)</w:t>
            </w:r>
          </w:p>
          <w:p w14:paraId="43C5B344" w14:textId="77777777" w:rsidR="00496F61" w:rsidRPr="00013D53" w:rsidRDefault="00496F61" w:rsidP="006C151B">
            <w:pPr>
              <w:spacing w:after="60"/>
            </w:pPr>
            <w:r>
              <w:rPr>
                <w:rFonts w:eastAsia="Arial" w:cs="Arial"/>
              </w:rPr>
              <w:t>•  Certified Management Accountant (CMA)</w:t>
            </w:r>
          </w:p>
          <w:p w14:paraId="127B0675" w14:textId="77777777" w:rsidR="00496F61" w:rsidRPr="00013D53" w:rsidRDefault="00496F61" w:rsidP="006C151B">
            <w:pPr>
              <w:spacing w:after="60"/>
            </w:pPr>
            <w:r>
              <w:rPr>
                <w:rFonts w:eastAsia="Arial" w:cs="Arial"/>
              </w:rPr>
              <w:t>•  Chartered Financial Analyst (CFA)</w:t>
            </w:r>
          </w:p>
          <w:p w14:paraId="14B36650" w14:textId="77777777" w:rsidR="00496F61" w:rsidRPr="00013D53" w:rsidRDefault="00496F61" w:rsidP="006C151B">
            <w:pPr>
              <w:spacing w:after="60"/>
            </w:pPr>
            <w:r>
              <w:rPr>
                <w:rFonts w:eastAsia="Arial" w:cs="Arial"/>
              </w:rPr>
              <w:lastRenderedPageBreak/>
              <w:t xml:space="preserve">•  Financial </w:t>
            </w:r>
            <w:proofErr w:type="spellStart"/>
            <w:r>
              <w:rPr>
                <w:rFonts w:eastAsia="Arial" w:cs="Arial"/>
              </w:rPr>
              <w:t>Modeling</w:t>
            </w:r>
            <w:proofErr w:type="spellEnd"/>
            <w:r>
              <w:rPr>
                <w:rFonts w:eastAsia="Arial" w:cs="Arial"/>
              </w:rPr>
              <w:t xml:space="preserve"> &amp; Valuation Analyst (FMVA)</w:t>
            </w:r>
          </w:p>
        </w:tc>
      </w:tr>
    </w:tbl>
    <w:p w14:paraId="727E3432" w14:textId="616AA306" w:rsidR="00496F61" w:rsidRDefault="00013D53" w:rsidP="00013D53">
      <w:pPr>
        <w:pStyle w:val="Heading4"/>
      </w:pPr>
      <w:r>
        <w:lastRenderedPageBreak/>
        <w:t>Skilled Trades Advancement</w:t>
      </w:r>
    </w:p>
    <w:p w14:paraId="6EA54D29" w14:textId="54819479" w:rsidR="00496F61" w:rsidRDefault="00496F61" w:rsidP="00496F61">
      <w:pPr>
        <w:spacing w:after="140"/>
        <w:jc w:val="both"/>
      </w:pPr>
      <w:r>
        <w:t>Workers in construction, extraction, installation, maintenance, and production occupations are well-placed to transition into engineering and technical management roles. This pathway has the second-highest average wage gain in the typology ($43,847) but the smallest observed volume in Tennessee. The pathway typically requires engineering qualifications — often a bachelor's degree in Mechanical, Electrical, or Civil Engineering — making it a longer-horizon investment than the other types.</w:t>
      </w:r>
    </w:p>
    <w:p w14:paraId="22F773E9" w14:textId="0A266E91" w:rsidR="00013D53" w:rsidRDefault="00013D53" w:rsidP="00496F61">
      <w:pPr>
        <w:spacing w:after="140"/>
        <w:jc w:val="both"/>
      </w:pPr>
      <w:r>
        <w:t>The long credential investment required (typically a 2–</w:t>
      </w:r>
      <w:proofErr w:type="gramStart"/>
      <w:r>
        <w:t>4 year</w:t>
      </w:r>
      <w:proofErr w:type="gramEnd"/>
      <w:r>
        <w:t xml:space="preserve"> degree) means income support must be more substantial than for shorter-cycle pathways. Degree apprenticeship models — where workers earn while completing an engineering qualification part-time — are the most viable format. Tennessee Colleges of Applied Technology (TCATs) offer relevant technical programmes that could serve as feeder pathways.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496F61" w14:paraId="74D967B5" w14:textId="77777777" w:rsidTr="006C151B">
        <w:tc>
          <w:tcPr>
            <w:tcW w:w="2340" w:type="dxa"/>
            <w:tcBorders>
              <w:top w:val="single" w:sz="4" w:space="0" w:color="BBBBBB"/>
              <w:left w:val="single" w:sz="4" w:space="0" w:color="BBBBBB"/>
              <w:bottom w:val="single" w:sz="4" w:space="0" w:color="BBBBBB"/>
              <w:right w:val="single" w:sz="4" w:space="0" w:color="BBBBBB"/>
            </w:tcBorders>
            <w:shd w:val="clear" w:color="auto" w:fill="2E75B6"/>
            <w:tcMar>
              <w:top w:w="80" w:type="dxa"/>
              <w:left w:w="140" w:type="dxa"/>
              <w:bottom w:w="80" w:type="dxa"/>
              <w:right w:w="140" w:type="dxa"/>
            </w:tcMar>
          </w:tcPr>
          <w:p w14:paraId="568E066B" w14:textId="77777777" w:rsidR="00496F61" w:rsidRPr="00013D53" w:rsidRDefault="00496F61" w:rsidP="006C151B">
            <w:pPr>
              <w:jc w:val="center"/>
            </w:pPr>
            <w:r>
              <w:rPr>
                <w:rFonts w:eastAsia="Arial" w:cs="Arial"/>
                <w:b/>
                <w:bCs/>
                <w:color w:val="FFFFFF"/>
              </w:rPr>
              <w:t>Typical Origin Occupations</w:t>
            </w:r>
          </w:p>
        </w:tc>
        <w:tc>
          <w:tcPr>
            <w:tcW w:w="2340" w:type="dxa"/>
            <w:tcBorders>
              <w:top w:val="single" w:sz="4" w:space="0" w:color="BBBBBB"/>
              <w:left w:val="single" w:sz="4" w:space="0" w:color="BBBBBB"/>
              <w:bottom w:val="single" w:sz="4" w:space="0" w:color="BBBBBB"/>
              <w:right w:val="single" w:sz="4" w:space="0" w:color="BBBBBB"/>
            </w:tcBorders>
            <w:shd w:val="clear" w:color="auto" w:fill="2E75B6"/>
            <w:tcMar>
              <w:top w:w="80" w:type="dxa"/>
              <w:left w:w="140" w:type="dxa"/>
              <w:bottom w:w="80" w:type="dxa"/>
              <w:right w:w="140" w:type="dxa"/>
            </w:tcMar>
          </w:tcPr>
          <w:p w14:paraId="21991FB3" w14:textId="77777777" w:rsidR="00496F61" w:rsidRPr="00013D53" w:rsidRDefault="00496F61" w:rsidP="006C151B">
            <w:pPr>
              <w:jc w:val="center"/>
            </w:pPr>
            <w:r>
              <w:rPr>
                <w:rFonts w:eastAsia="Arial" w:cs="Arial"/>
                <w:b/>
                <w:bCs/>
                <w:color w:val="FFFFFF"/>
              </w:rPr>
              <w:t>Typical Destination Occupations</w:t>
            </w:r>
          </w:p>
        </w:tc>
        <w:tc>
          <w:tcPr>
            <w:tcW w:w="2340" w:type="dxa"/>
            <w:tcBorders>
              <w:top w:val="single" w:sz="4" w:space="0" w:color="BBBBBB"/>
              <w:left w:val="single" w:sz="4" w:space="0" w:color="BBBBBB"/>
              <w:bottom w:val="single" w:sz="4" w:space="0" w:color="BBBBBB"/>
              <w:right w:val="single" w:sz="4" w:space="0" w:color="BBBBBB"/>
            </w:tcBorders>
            <w:shd w:val="clear" w:color="auto" w:fill="2E75B6"/>
            <w:tcMar>
              <w:top w:w="80" w:type="dxa"/>
              <w:left w:w="140" w:type="dxa"/>
              <w:bottom w:w="80" w:type="dxa"/>
              <w:right w:w="140" w:type="dxa"/>
            </w:tcMar>
          </w:tcPr>
          <w:p w14:paraId="0A61CDED" w14:textId="77777777" w:rsidR="00496F61" w:rsidRPr="00013D53" w:rsidRDefault="00496F61" w:rsidP="006C151B">
            <w:pPr>
              <w:jc w:val="center"/>
            </w:pPr>
            <w:r>
              <w:rPr>
                <w:rFonts w:eastAsia="Arial" w:cs="Arial"/>
                <w:b/>
                <w:bCs/>
                <w:color w:val="FFFFFF"/>
              </w:rPr>
              <w:t>Key Skills Required</w:t>
            </w:r>
          </w:p>
        </w:tc>
        <w:tc>
          <w:tcPr>
            <w:tcW w:w="2340" w:type="dxa"/>
            <w:tcBorders>
              <w:top w:val="single" w:sz="4" w:space="0" w:color="BBBBBB"/>
              <w:left w:val="single" w:sz="4" w:space="0" w:color="BBBBBB"/>
              <w:bottom w:val="single" w:sz="4" w:space="0" w:color="BBBBBB"/>
              <w:right w:val="single" w:sz="4" w:space="0" w:color="BBBBBB"/>
            </w:tcBorders>
            <w:shd w:val="clear" w:color="auto" w:fill="2E75B6"/>
            <w:tcMar>
              <w:top w:w="80" w:type="dxa"/>
              <w:left w:w="140" w:type="dxa"/>
              <w:bottom w:w="80" w:type="dxa"/>
              <w:right w:w="140" w:type="dxa"/>
            </w:tcMar>
          </w:tcPr>
          <w:p w14:paraId="6525C3E7" w14:textId="5AB5061F" w:rsidR="00496F61" w:rsidRPr="00013D53" w:rsidRDefault="00496F61" w:rsidP="006C151B">
            <w:pPr>
              <w:jc w:val="center"/>
            </w:pPr>
            <w:r>
              <w:rPr>
                <w:rFonts w:eastAsia="Arial" w:cs="Arial"/>
                <w:b/>
                <w:bCs/>
                <w:color w:val="FFFFFF"/>
              </w:rPr>
              <w:t>Key Credentials / Licenses</w:t>
            </w:r>
          </w:p>
        </w:tc>
      </w:tr>
      <w:tr w:rsidR="00496F61" w14:paraId="2AE61CC7" w14:textId="77777777" w:rsidTr="006C151B">
        <w:tc>
          <w:tcPr>
            <w:tcW w:w="234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tcPr>
          <w:p w14:paraId="536C6F15" w14:textId="77777777" w:rsidR="00496F61" w:rsidRPr="00013D53" w:rsidRDefault="00496F61" w:rsidP="006C151B">
            <w:pPr>
              <w:spacing w:after="60"/>
            </w:pPr>
            <w:r>
              <w:rPr>
                <w:rFonts w:eastAsia="Arial" w:cs="Arial"/>
              </w:rPr>
              <w:t>•  Heavy Vehicle and Mobile Equipment Service Technicians</w:t>
            </w:r>
          </w:p>
          <w:p w14:paraId="4168BA31" w14:textId="77777777" w:rsidR="00496F61" w:rsidRPr="00013D53" w:rsidRDefault="00496F61" w:rsidP="006C151B">
            <w:pPr>
              <w:spacing w:after="60"/>
            </w:pPr>
            <w:r>
              <w:rPr>
                <w:rFonts w:eastAsia="Arial" w:cs="Arial"/>
              </w:rPr>
              <w:t>•  Aircraft Mechanics and Service Technicians</w:t>
            </w:r>
          </w:p>
          <w:p w14:paraId="69BBCD4E" w14:textId="77777777" w:rsidR="00496F61" w:rsidRPr="00013D53" w:rsidRDefault="00496F61" w:rsidP="006C151B">
            <w:pPr>
              <w:spacing w:after="60"/>
            </w:pPr>
            <w:r>
              <w:rPr>
                <w:rFonts w:eastAsia="Arial" w:cs="Arial"/>
              </w:rPr>
              <w:t>•  Construction Laborers</w:t>
            </w:r>
          </w:p>
          <w:p w14:paraId="64C00B91" w14:textId="77777777" w:rsidR="00496F61" w:rsidRPr="00013D53" w:rsidRDefault="00496F61" w:rsidP="006C151B">
            <w:pPr>
              <w:spacing w:after="60"/>
            </w:pPr>
            <w:r>
              <w:rPr>
                <w:rFonts w:eastAsia="Arial" w:cs="Arial"/>
              </w:rPr>
              <w:t>•  Electrical Power-Line Installers and Repairers</w:t>
            </w:r>
          </w:p>
          <w:p w14:paraId="36889889" w14:textId="77777777" w:rsidR="00496F61" w:rsidRPr="00013D53" w:rsidRDefault="00496F61" w:rsidP="006C151B">
            <w:pPr>
              <w:spacing w:after="60"/>
            </w:pPr>
            <w:r>
              <w:rPr>
                <w:rFonts w:eastAsia="Arial" w:cs="Arial"/>
              </w:rPr>
              <w:t>•  Tool and Die Makers</w:t>
            </w:r>
          </w:p>
          <w:p w14:paraId="315097F6" w14:textId="77777777" w:rsidR="00496F61" w:rsidRPr="00013D53" w:rsidRDefault="00496F61" w:rsidP="006C151B">
            <w:pPr>
              <w:spacing w:after="60"/>
            </w:pPr>
            <w:r>
              <w:rPr>
                <w:rFonts w:eastAsia="Arial" w:cs="Arial"/>
              </w:rPr>
              <w:t xml:space="preserve">•  First-Line Supervisors of </w:t>
            </w:r>
            <w:r>
              <w:rPr>
                <w:rFonts w:eastAsia="Arial" w:cs="Arial"/>
              </w:rPr>
              <w:lastRenderedPageBreak/>
              <w:t>Mechanics, Installers, and Repairers</w:t>
            </w:r>
          </w:p>
        </w:tc>
        <w:tc>
          <w:tcPr>
            <w:tcW w:w="234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tcPr>
          <w:p w14:paraId="4BE49C5E" w14:textId="77777777" w:rsidR="00496F61" w:rsidRPr="00013D53" w:rsidRDefault="00496F61" w:rsidP="006C151B">
            <w:pPr>
              <w:spacing w:after="60"/>
            </w:pPr>
            <w:r>
              <w:rPr>
                <w:rFonts w:eastAsia="Arial" w:cs="Arial"/>
              </w:rPr>
              <w:lastRenderedPageBreak/>
              <w:t>•  Mechanical Engineers</w:t>
            </w:r>
          </w:p>
          <w:p w14:paraId="7BE28A30" w14:textId="77777777" w:rsidR="00496F61" w:rsidRPr="00013D53" w:rsidRDefault="00496F61" w:rsidP="006C151B">
            <w:pPr>
              <w:spacing w:after="60"/>
            </w:pPr>
            <w:r>
              <w:rPr>
                <w:rFonts w:eastAsia="Arial" w:cs="Arial"/>
              </w:rPr>
              <w:t>•  Other Engineers</w:t>
            </w:r>
          </w:p>
          <w:p w14:paraId="3CDC3AC4" w14:textId="77777777" w:rsidR="00496F61" w:rsidRPr="00013D53" w:rsidRDefault="00496F61" w:rsidP="006C151B">
            <w:pPr>
              <w:spacing w:after="60"/>
            </w:pPr>
            <w:r>
              <w:rPr>
                <w:rFonts w:eastAsia="Arial" w:cs="Arial"/>
              </w:rPr>
              <w:t>•  Electrical and Electronics Engineers</w:t>
            </w:r>
          </w:p>
          <w:p w14:paraId="67C73742" w14:textId="77777777" w:rsidR="00496F61" w:rsidRPr="00013D53" w:rsidRDefault="00496F61" w:rsidP="006C151B">
            <w:pPr>
              <w:spacing w:after="60"/>
            </w:pPr>
            <w:r>
              <w:rPr>
                <w:rFonts w:eastAsia="Arial" w:cs="Arial"/>
              </w:rPr>
              <w:t>•  Civil Engineers</w:t>
            </w:r>
          </w:p>
          <w:p w14:paraId="609FD8CF" w14:textId="77777777" w:rsidR="00496F61" w:rsidRPr="00013D53" w:rsidRDefault="00496F61" w:rsidP="006C151B">
            <w:pPr>
              <w:spacing w:after="60"/>
            </w:pPr>
            <w:r>
              <w:rPr>
                <w:rFonts w:eastAsia="Arial" w:cs="Arial"/>
              </w:rPr>
              <w:t>•  Architects, Except Landscape and Naval</w:t>
            </w:r>
          </w:p>
          <w:p w14:paraId="6F4D645F" w14:textId="77777777" w:rsidR="00496F61" w:rsidRPr="00013D53" w:rsidRDefault="00496F61" w:rsidP="006C151B">
            <w:pPr>
              <w:spacing w:after="60"/>
            </w:pPr>
            <w:r>
              <w:rPr>
                <w:rFonts w:eastAsia="Arial" w:cs="Arial"/>
              </w:rPr>
              <w:t>•  Other Engineering Technologists and Technicians</w:t>
            </w:r>
          </w:p>
        </w:tc>
        <w:tc>
          <w:tcPr>
            <w:tcW w:w="234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tcPr>
          <w:p w14:paraId="500E00D7" w14:textId="77777777" w:rsidR="00496F61" w:rsidRPr="00013D53" w:rsidRDefault="00496F61" w:rsidP="006C151B">
            <w:pPr>
              <w:spacing w:after="60"/>
            </w:pPr>
            <w:r>
              <w:rPr>
                <w:rFonts w:eastAsia="Arial" w:cs="Arial"/>
              </w:rPr>
              <w:t>•  Mechanical Engineering</w:t>
            </w:r>
          </w:p>
          <w:p w14:paraId="0710954A" w14:textId="77777777" w:rsidR="00496F61" w:rsidRPr="00013D53" w:rsidRDefault="00496F61" w:rsidP="006C151B">
            <w:pPr>
              <w:spacing w:after="60"/>
            </w:pPr>
            <w:r>
              <w:rPr>
                <w:rFonts w:eastAsia="Arial" w:cs="Arial"/>
              </w:rPr>
              <w:t>•  AutoCAD</w:t>
            </w:r>
          </w:p>
          <w:p w14:paraId="223BE644" w14:textId="77777777" w:rsidR="00496F61" w:rsidRPr="00013D53" w:rsidRDefault="00496F61" w:rsidP="006C151B">
            <w:pPr>
              <w:spacing w:after="60"/>
            </w:pPr>
            <w:r>
              <w:rPr>
                <w:rFonts w:eastAsia="Arial" w:cs="Arial"/>
              </w:rPr>
              <w:t>•  Electrical Engineering</w:t>
            </w:r>
          </w:p>
          <w:p w14:paraId="6EFD82E3" w14:textId="77777777" w:rsidR="00496F61" w:rsidRPr="00013D53" w:rsidRDefault="00496F61" w:rsidP="006C151B">
            <w:pPr>
              <w:spacing w:after="60"/>
            </w:pPr>
            <w:r>
              <w:rPr>
                <w:rFonts w:eastAsia="Arial" w:cs="Arial"/>
              </w:rPr>
              <w:t>•  SolidWorks (CAD)</w:t>
            </w:r>
          </w:p>
          <w:p w14:paraId="0E93238C" w14:textId="77777777" w:rsidR="00496F61" w:rsidRPr="00013D53" w:rsidRDefault="00496F61" w:rsidP="006C151B">
            <w:pPr>
              <w:spacing w:after="60"/>
            </w:pPr>
            <w:r>
              <w:rPr>
                <w:rFonts w:eastAsia="Arial" w:cs="Arial"/>
              </w:rPr>
              <w:t>•  PTC Creo (CAD Suite)</w:t>
            </w:r>
          </w:p>
          <w:p w14:paraId="3DC766AF" w14:textId="77777777" w:rsidR="00496F61" w:rsidRPr="00013D53" w:rsidRDefault="00496F61" w:rsidP="006C151B">
            <w:pPr>
              <w:spacing w:after="60"/>
            </w:pPr>
            <w:r>
              <w:rPr>
                <w:rFonts w:eastAsia="Arial" w:cs="Arial"/>
              </w:rPr>
              <w:t>•  HVAC</w:t>
            </w:r>
          </w:p>
          <w:p w14:paraId="25BB2397" w14:textId="77777777" w:rsidR="00496F61" w:rsidRPr="00013D53" w:rsidRDefault="00496F61" w:rsidP="006C151B">
            <w:pPr>
              <w:spacing w:after="60"/>
            </w:pPr>
            <w:r>
              <w:rPr>
                <w:rFonts w:eastAsia="Arial" w:cs="Arial"/>
              </w:rPr>
              <w:t>•  Project Management</w:t>
            </w:r>
          </w:p>
        </w:tc>
        <w:tc>
          <w:tcPr>
            <w:tcW w:w="234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tcPr>
          <w:p w14:paraId="6D14F881" w14:textId="77777777" w:rsidR="00496F61" w:rsidRPr="00013D53" w:rsidRDefault="00496F61" w:rsidP="006C151B">
            <w:pPr>
              <w:spacing w:after="60"/>
            </w:pPr>
            <w:r>
              <w:rPr>
                <w:rFonts w:eastAsia="Arial" w:cs="Arial"/>
              </w:rPr>
              <w:t>•  Fundamentals of Engineering (FE) Exam</w:t>
            </w:r>
          </w:p>
          <w:p w14:paraId="17510D6F" w14:textId="77777777" w:rsidR="00496F61" w:rsidRPr="00013D53" w:rsidRDefault="00496F61" w:rsidP="006C151B">
            <w:pPr>
              <w:spacing w:after="60"/>
            </w:pPr>
            <w:r>
              <w:rPr>
                <w:rFonts w:eastAsia="Arial" w:cs="Arial"/>
              </w:rPr>
              <w:t>•  Professional Engineer (PE) License</w:t>
            </w:r>
          </w:p>
          <w:p w14:paraId="1B7D09EF" w14:textId="77777777" w:rsidR="00496F61" w:rsidRPr="00013D53" w:rsidRDefault="00496F61" w:rsidP="006C151B">
            <w:pPr>
              <w:spacing w:after="60"/>
            </w:pPr>
            <w:r>
              <w:rPr>
                <w:rFonts w:eastAsia="Arial" w:cs="Arial"/>
              </w:rPr>
              <w:t>•  LEED Accredited Professional (LEED AP)</w:t>
            </w:r>
          </w:p>
          <w:p w14:paraId="26F2C88D" w14:textId="77777777" w:rsidR="00496F61" w:rsidRPr="00013D53" w:rsidRDefault="00496F61" w:rsidP="006C151B">
            <w:pPr>
              <w:spacing w:after="60"/>
            </w:pPr>
            <w:r>
              <w:rPr>
                <w:rFonts w:eastAsia="Arial" w:cs="Arial"/>
              </w:rPr>
              <w:t>•  NCARB Certification</w:t>
            </w:r>
          </w:p>
          <w:p w14:paraId="4B04A1F0" w14:textId="28FD9B8B" w:rsidR="00496F61" w:rsidRPr="00013D53" w:rsidRDefault="00496F61" w:rsidP="006C151B">
            <w:pPr>
              <w:spacing w:after="60"/>
            </w:pPr>
            <w:r>
              <w:rPr>
                <w:rFonts w:eastAsia="Arial" w:cs="Arial"/>
              </w:rPr>
              <w:t xml:space="preserve">•  Structural Engineer — TN License </w:t>
            </w:r>
          </w:p>
          <w:p w14:paraId="0BC5506E" w14:textId="0FCC8257" w:rsidR="00496F61" w:rsidRPr="00013D53" w:rsidRDefault="00496F61" w:rsidP="006C151B">
            <w:pPr>
              <w:spacing w:after="60"/>
            </w:pPr>
            <w:r>
              <w:rPr>
                <w:rFonts w:eastAsia="Arial" w:cs="Arial"/>
              </w:rPr>
              <w:t xml:space="preserve">•  Architect — TN License </w:t>
            </w:r>
          </w:p>
        </w:tc>
      </w:tr>
    </w:tbl>
    <w:p w14:paraId="6FD605DE" w14:textId="77777777" w:rsidR="00496F61" w:rsidRDefault="00496F61" w:rsidP="00496F61">
      <w:pPr>
        <w:spacing w:after="80"/>
      </w:pPr>
    </w:p>
    <w:p w14:paraId="00709AB4" w14:textId="28274D6C" w:rsidR="00013D53" w:rsidRDefault="00013D53" w:rsidP="00013D53">
      <w:pPr>
        <w:pStyle w:val="Heading4"/>
      </w:pPr>
      <w:r>
        <w:t>Sales &amp; Commercial</w:t>
      </w:r>
    </w:p>
    <w:p w14:paraId="1DE011F9" w14:textId="7259406C" w:rsidR="00496F61" w:rsidRDefault="00496F61" w:rsidP="00496F61">
      <w:pPr>
        <w:spacing w:after="140"/>
        <w:jc w:val="both"/>
      </w:pPr>
      <w:r>
        <w:t xml:space="preserve">Workers from food service, retail, personal care, administrative, and transport occupations transition into B2B sales and commercial roles. This pathway has the highest average </w:t>
      </w:r>
      <w:proofErr w:type="spellStart"/>
      <w:r>
        <w:t>strandedness</w:t>
      </w:r>
      <w:proofErr w:type="spellEnd"/>
      <w:r>
        <w:t xml:space="preserve"> reduction; origin occupations — fast food workers, cashiers, building cleaners — have among the highest </w:t>
      </w:r>
      <w:proofErr w:type="spellStart"/>
      <w:r>
        <w:t>strandedness</w:t>
      </w:r>
      <w:proofErr w:type="spellEnd"/>
      <w:r>
        <w:t xml:space="preserve"> rates in the dataset, while destination sales roles carry significantly lower </w:t>
      </w:r>
      <w:proofErr w:type="spellStart"/>
      <w:r>
        <w:t>strandedness</w:t>
      </w:r>
      <w:proofErr w:type="spellEnd"/>
      <w:r>
        <w:t xml:space="preserve"> rates. The skills required are primarily commercial and interpersonal rather than technical, making this pathway accessible to workers without strong educational credentials.</w:t>
      </w:r>
    </w:p>
    <w:p w14:paraId="3607CD3B" w14:textId="2ACF22D2" w:rsidR="00EC72B1" w:rsidRDefault="00EC72B1" w:rsidP="00496F61">
      <w:pPr>
        <w:spacing w:after="140"/>
        <w:jc w:val="both"/>
      </w:pPr>
      <w:r>
        <w:t>This pathway is underutilised relative to its potential. Sales roles are abundant in Tennessee across healthcare, logistics, and technology sectors, and many employers are willing to hire on demonstrated aptitude rather than formal credentials. Employer-led sales training programmes and earn-while-you-learn sales development roles (SDRs) are the most effective format. Policy can support by incentivising employers to open SDR-style entry roles to non-traditional candidates.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496F61" w14:paraId="61FB0A66" w14:textId="77777777" w:rsidTr="006C151B">
        <w:tc>
          <w:tcPr>
            <w:tcW w:w="2340" w:type="dxa"/>
            <w:tcBorders>
              <w:top w:val="single" w:sz="4" w:space="0" w:color="BBBBBB"/>
              <w:left w:val="single" w:sz="4" w:space="0" w:color="BBBBBB"/>
              <w:bottom w:val="single" w:sz="4" w:space="0" w:color="BBBBBB"/>
              <w:right w:val="single" w:sz="4" w:space="0" w:color="BBBBBB"/>
            </w:tcBorders>
            <w:shd w:val="clear" w:color="auto" w:fill="2E75B6"/>
            <w:tcMar>
              <w:top w:w="80" w:type="dxa"/>
              <w:left w:w="140" w:type="dxa"/>
              <w:bottom w:w="80" w:type="dxa"/>
              <w:right w:w="140" w:type="dxa"/>
            </w:tcMar>
          </w:tcPr>
          <w:p w14:paraId="381E379A" w14:textId="77777777" w:rsidR="00496F61" w:rsidRPr="00013D53" w:rsidRDefault="00496F61" w:rsidP="006C151B">
            <w:pPr>
              <w:jc w:val="center"/>
            </w:pPr>
            <w:r>
              <w:rPr>
                <w:rFonts w:eastAsia="Arial" w:cs="Arial"/>
                <w:b/>
                <w:bCs/>
                <w:color w:val="FFFFFF"/>
              </w:rPr>
              <w:t>Typical Origin Occupations</w:t>
            </w:r>
          </w:p>
        </w:tc>
        <w:tc>
          <w:tcPr>
            <w:tcW w:w="2340" w:type="dxa"/>
            <w:tcBorders>
              <w:top w:val="single" w:sz="4" w:space="0" w:color="BBBBBB"/>
              <w:left w:val="single" w:sz="4" w:space="0" w:color="BBBBBB"/>
              <w:bottom w:val="single" w:sz="4" w:space="0" w:color="BBBBBB"/>
              <w:right w:val="single" w:sz="4" w:space="0" w:color="BBBBBB"/>
            </w:tcBorders>
            <w:shd w:val="clear" w:color="auto" w:fill="2E75B6"/>
            <w:tcMar>
              <w:top w:w="80" w:type="dxa"/>
              <w:left w:w="140" w:type="dxa"/>
              <w:bottom w:w="80" w:type="dxa"/>
              <w:right w:w="140" w:type="dxa"/>
            </w:tcMar>
          </w:tcPr>
          <w:p w14:paraId="7A47E6FC" w14:textId="77777777" w:rsidR="00496F61" w:rsidRPr="00013D53" w:rsidRDefault="00496F61" w:rsidP="006C151B">
            <w:pPr>
              <w:jc w:val="center"/>
            </w:pPr>
            <w:r>
              <w:rPr>
                <w:rFonts w:eastAsia="Arial" w:cs="Arial"/>
                <w:b/>
                <w:bCs/>
                <w:color w:val="FFFFFF"/>
              </w:rPr>
              <w:t>Typical Destination Occupations</w:t>
            </w:r>
          </w:p>
        </w:tc>
        <w:tc>
          <w:tcPr>
            <w:tcW w:w="2340" w:type="dxa"/>
            <w:tcBorders>
              <w:top w:val="single" w:sz="4" w:space="0" w:color="BBBBBB"/>
              <w:left w:val="single" w:sz="4" w:space="0" w:color="BBBBBB"/>
              <w:bottom w:val="single" w:sz="4" w:space="0" w:color="BBBBBB"/>
              <w:right w:val="single" w:sz="4" w:space="0" w:color="BBBBBB"/>
            </w:tcBorders>
            <w:shd w:val="clear" w:color="auto" w:fill="2E75B6"/>
            <w:tcMar>
              <w:top w:w="80" w:type="dxa"/>
              <w:left w:w="140" w:type="dxa"/>
              <w:bottom w:w="80" w:type="dxa"/>
              <w:right w:w="140" w:type="dxa"/>
            </w:tcMar>
          </w:tcPr>
          <w:p w14:paraId="33753BCC" w14:textId="77777777" w:rsidR="00496F61" w:rsidRPr="00013D53" w:rsidRDefault="00496F61" w:rsidP="006C151B">
            <w:pPr>
              <w:jc w:val="center"/>
            </w:pPr>
            <w:r>
              <w:rPr>
                <w:rFonts w:eastAsia="Arial" w:cs="Arial"/>
                <w:b/>
                <w:bCs/>
                <w:color w:val="FFFFFF"/>
              </w:rPr>
              <w:t>Key Skills Required</w:t>
            </w:r>
          </w:p>
        </w:tc>
        <w:tc>
          <w:tcPr>
            <w:tcW w:w="2340" w:type="dxa"/>
            <w:tcBorders>
              <w:top w:val="single" w:sz="4" w:space="0" w:color="BBBBBB"/>
              <w:left w:val="single" w:sz="4" w:space="0" w:color="BBBBBB"/>
              <w:bottom w:val="single" w:sz="4" w:space="0" w:color="BBBBBB"/>
              <w:right w:val="single" w:sz="4" w:space="0" w:color="BBBBBB"/>
            </w:tcBorders>
            <w:shd w:val="clear" w:color="auto" w:fill="2E75B6"/>
            <w:tcMar>
              <w:top w:w="80" w:type="dxa"/>
              <w:left w:w="140" w:type="dxa"/>
              <w:bottom w:w="80" w:type="dxa"/>
              <w:right w:w="140" w:type="dxa"/>
            </w:tcMar>
          </w:tcPr>
          <w:p w14:paraId="3383CA77" w14:textId="628A7C75" w:rsidR="00496F61" w:rsidRPr="00013D53" w:rsidRDefault="00496F61" w:rsidP="006C151B">
            <w:pPr>
              <w:jc w:val="center"/>
            </w:pPr>
            <w:r>
              <w:rPr>
                <w:rFonts w:eastAsia="Arial" w:cs="Arial"/>
                <w:b/>
                <w:bCs/>
                <w:color w:val="FFFFFF"/>
              </w:rPr>
              <w:t>Key Credentials / Licenses</w:t>
            </w:r>
          </w:p>
        </w:tc>
      </w:tr>
      <w:tr w:rsidR="00496F61" w14:paraId="63EBB170" w14:textId="77777777" w:rsidTr="006C151B">
        <w:tc>
          <w:tcPr>
            <w:tcW w:w="234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tcPr>
          <w:p w14:paraId="76CADCB8" w14:textId="77777777" w:rsidR="00496F61" w:rsidRPr="00013D53" w:rsidRDefault="00496F61" w:rsidP="006C151B">
            <w:pPr>
              <w:spacing w:after="60"/>
            </w:pPr>
            <w:r>
              <w:rPr>
                <w:rFonts w:eastAsia="Arial" w:cs="Arial"/>
              </w:rPr>
              <w:t>•  Retail Salespersons</w:t>
            </w:r>
          </w:p>
          <w:p w14:paraId="2BAB3014" w14:textId="77777777" w:rsidR="00496F61" w:rsidRPr="00013D53" w:rsidRDefault="00496F61" w:rsidP="006C151B">
            <w:pPr>
              <w:spacing w:after="60"/>
            </w:pPr>
            <w:r>
              <w:rPr>
                <w:rFonts w:eastAsia="Arial" w:cs="Arial"/>
              </w:rPr>
              <w:t>•  Door-to-Door Sales Workers and Street Vendors</w:t>
            </w:r>
          </w:p>
          <w:p w14:paraId="616037DF" w14:textId="77777777" w:rsidR="00496F61" w:rsidRPr="00013D53" w:rsidRDefault="00496F61" w:rsidP="006C151B">
            <w:pPr>
              <w:spacing w:after="60"/>
            </w:pPr>
            <w:r>
              <w:rPr>
                <w:rFonts w:eastAsia="Arial" w:cs="Arial"/>
              </w:rPr>
              <w:t>•  Animal Caretakers</w:t>
            </w:r>
          </w:p>
          <w:p w14:paraId="434C403A" w14:textId="77777777" w:rsidR="00496F61" w:rsidRPr="00013D53" w:rsidRDefault="00496F61" w:rsidP="006C151B">
            <w:pPr>
              <w:spacing w:after="60"/>
            </w:pPr>
            <w:r>
              <w:rPr>
                <w:rFonts w:eastAsia="Arial" w:cs="Arial"/>
              </w:rPr>
              <w:t>•  Bakers</w:t>
            </w:r>
          </w:p>
          <w:p w14:paraId="5F48BF38" w14:textId="77777777" w:rsidR="00496F61" w:rsidRPr="00013D53" w:rsidRDefault="00496F61" w:rsidP="006C151B">
            <w:pPr>
              <w:spacing w:after="60"/>
            </w:pPr>
            <w:r>
              <w:rPr>
                <w:rFonts w:eastAsia="Arial" w:cs="Arial"/>
              </w:rPr>
              <w:t>•  Chefs and Head Cooks</w:t>
            </w:r>
          </w:p>
          <w:p w14:paraId="04DCB27F" w14:textId="77777777" w:rsidR="00496F61" w:rsidRPr="00013D53" w:rsidRDefault="00496F61" w:rsidP="006C151B">
            <w:pPr>
              <w:spacing w:after="60"/>
            </w:pPr>
            <w:r>
              <w:rPr>
                <w:rFonts w:eastAsia="Arial" w:cs="Arial"/>
              </w:rPr>
              <w:t>•  Customer Service Representatives</w:t>
            </w:r>
          </w:p>
        </w:tc>
        <w:tc>
          <w:tcPr>
            <w:tcW w:w="234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tcPr>
          <w:p w14:paraId="27598542" w14:textId="77777777" w:rsidR="00496F61" w:rsidRPr="00013D53" w:rsidRDefault="00496F61" w:rsidP="006C151B">
            <w:pPr>
              <w:spacing w:after="60"/>
            </w:pPr>
            <w:r>
              <w:rPr>
                <w:rFonts w:eastAsia="Arial" w:cs="Arial"/>
              </w:rPr>
              <w:t>•  Sales Representatives of Services</w:t>
            </w:r>
          </w:p>
          <w:p w14:paraId="21B85BE0" w14:textId="77777777" w:rsidR="00496F61" w:rsidRPr="00013D53" w:rsidRDefault="00496F61" w:rsidP="006C151B">
            <w:pPr>
              <w:spacing w:after="60"/>
            </w:pPr>
            <w:r>
              <w:rPr>
                <w:rFonts w:eastAsia="Arial" w:cs="Arial"/>
              </w:rPr>
              <w:t>•  Sales Representatives, Wholesale and Manufacturing</w:t>
            </w:r>
          </w:p>
          <w:p w14:paraId="38A95A85" w14:textId="77777777" w:rsidR="00496F61" w:rsidRPr="00013D53" w:rsidRDefault="00496F61" w:rsidP="006C151B">
            <w:pPr>
              <w:spacing w:after="60"/>
            </w:pPr>
            <w:r>
              <w:rPr>
                <w:rFonts w:eastAsia="Arial" w:cs="Arial"/>
              </w:rPr>
              <w:t>•  First-Line Supervisors of Non-Retail Sales</w:t>
            </w:r>
          </w:p>
          <w:p w14:paraId="5402785B" w14:textId="77777777" w:rsidR="00496F61" w:rsidRPr="00013D53" w:rsidRDefault="00496F61" w:rsidP="006C151B">
            <w:pPr>
              <w:spacing w:after="60"/>
            </w:pPr>
            <w:r>
              <w:rPr>
                <w:rFonts w:eastAsia="Arial" w:cs="Arial"/>
              </w:rPr>
              <w:t>•  First-Line Supervisors of Retail Sales</w:t>
            </w:r>
          </w:p>
          <w:p w14:paraId="7DD0254E" w14:textId="77777777" w:rsidR="00496F61" w:rsidRPr="00013D53" w:rsidRDefault="00496F61" w:rsidP="006C151B">
            <w:pPr>
              <w:spacing w:after="60"/>
            </w:pPr>
            <w:r>
              <w:rPr>
                <w:rFonts w:eastAsia="Arial" w:cs="Arial"/>
              </w:rPr>
              <w:t>•  Retail Salespersons</w:t>
            </w:r>
          </w:p>
          <w:p w14:paraId="353410E8" w14:textId="77777777" w:rsidR="00496F61" w:rsidRPr="00013D53" w:rsidRDefault="00496F61" w:rsidP="006C151B">
            <w:pPr>
              <w:spacing w:after="60"/>
            </w:pPr>
            <w:r>
              <w:rPr>
                <w:rFonts w:eastAsia="Arial" w:cs="Arial"/>
              </w:rPr>
              <w:lastRenderedPageBreak/>
              <w:t>•  Securities, Commodities, and Financial Services Sales Agents</w:t>
            </w:r>
          </w:p>
        </w:tc>
        <w:tc>
          <w:tcPr>
            <w:tcW w:w="234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tcPr>
          <w:p w14:paraId="3DA76FAC" w14:textId="77777777" w:rsidR="00496F61" w:rsidRPr="00013D53" w:rsidRDefault="00496F61" w:rsidP="006C151B">
            <w:pPr>
              <w:spacing w:after="60"/>
            </w:pPr>
            <w:r>
              <w:rPr>
                <w:rFonts w:eastAsia="Arial" w:cs="Arial"/>
              </w:rPr>
              <w:lastRenderedPageBreak/>
              <w:t>•  Sales</w:t>
            </w:r>
          </w:p>
          <w:p w14:paraId="29795997" w14:textId="77777777" w:rsidR="00496F61" w:rsidRPr="00013D53" w:rsidRDefault="00496F61" w:rsidP="006C151B">
            <w:pPr>
              <w:spacing w:after="60"/>
            </w:pPr>
            <w:r>
              <w:rPr>
                <w:rFonts w:eastAsia="Arial" w:cs="Arial"/>
              </w:rPr>
              <w:t>•  Selling Techniques</w:t>
            </w:r>
          </w:p>
          <w:p w14:paraId="2F6ED05F" w14:textId="77777777" w:rsidR="00496F61" w:rsidRPr="00013D53" w:rsidRDefault="00496F61" w:rsidP="006C151B">
            <w:pPr>
              <w:spacing w:after="60"/>
            </w:pPr>
            <w:r>
              <w:rPr>
                <w:rFonts w:eastAsia="Arial" w:cs="Arial"/>
              </w:rPr>
              <w:t>•  Merchandising</w:t>
            </w:r>
          </w:p>
          <w:p w14:paraId="493C902C" w14:textId="77777777" w:rsidR="00496F61" w:rsidRPr="00013D53" w:rsidRDefault="00496F61" w:rsidP="006C151B">
            <w:pPr>
              <w:spacing w:after="60"/>
            </w:pPr>
            <w:r>
              <w:rPr>
                <w:rFonts w:eastAsia="Arial" w:cs="Arial"/>
              </w:rPr>
              <w:t>•  Retail Sales</w:t>
            </w:r>
          </w:p>
          <w:p w14:paraId="3373C2A6" w14:textId="77777777" w:rsidR="00496F61" w:rsidRPr="00013D53" w:rsidRDefault="00496F61" w:rsidP="006C151B">
            <w:pPr>
              <w:spacing w:after="60"/>
            </w:pPr>
            <w:r>
              <w:rPr>
                <w:rFonts w:eastAsia="Arial" w:cs="Arial"/>
              </w:rPr>
              <w:t>•  Sales Prospecting</w:t>
            </w:r>
          </w:p>
          <w:p w14:paraId="7AFF2BE6" w14:textId="77777777" w:rsidR="00496F61" w:rsidRPr="00013D53" w:rsidRDefault="00496F61" w:rsidP="006C151B">
            <w:pPr>
              <w:spacing w:after="60"/>
            </w:pPr>
            <w:r>
              <w:rPr>
                <w:rFonts w:eastAsia="Arial" w:cs="Arial"/>
              </w:rPr>
              <w:t>•  Visual Merchandising</w:t>
            </w:r>
          </w:p>
          <w:p w14:paraId="2A440F57" w14:textId="77777777" w:rsidR="00496F61" w:rsidRPr="00013D53" w:rsidRDefault="00496F61" w:rsidP="006C151B">
            <w:pPr>
              <w:spacing w:after="60"/>
            </w:pPr>
            <w:r>
              <w:rPr>
                <w:rFonts w:eastAsia="Arial" w:cs="Arial"/>
              </w:rPr>
              <w:t>•  Inside Sales</w:t>
            </w:r>
          </w:p>
        </w:tc>
        <w:tc>
          <w:tcPr>
            <w:tcW w:w="234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tcPr>
          <w:p w14:paraId="370C4CA7" w14:textId="77777777" w:rsidR="00496F61" w:rsidRPr="00013D53" w:rsidRDefault="00496F61" w:rsidP="006C151B">
            <w:pPr>
              <w:spacing w:after="60"/>
            </w:pPr>
            <w:r>
              <w:rPr>
                <w:rFonts w:eastAsia="Arial" w:cs="Arial"/>
              </w:rPr>
              <w:t>•  Series 7 (General Securities Representative)</w:t>
            </w:r>
          </w:p>
          <w:p w14:paraId="100D4EF4" w14:textId="77777777" w:rsidR="00496F61" w:rsidRPr="00013D53" w:rsidRDefault="00496F61" w:rsidP="006C151B">
            <w:pPr>
              <w:spacing w:after="60"/>
            </w:pPr>
            <w:r>
              <w:rPr>
                <w:rFonts w:eastAsia="Arial" w:cs="Arial"/>
              </w:rPr>
              <w:t>•  Series 63 (Uniform Securities Agent State Law)</w:t>
            </w:r>
          </w:p>
          <w:p w14:paraId="699AB204" w14:textId="77777777" w:rsidR="00496F61" w:rsidRPr="00013D53" w:rsidRDefault="00496F61" w:rsidP="006C151B">
            <w:pPr>
              <w:spacing w:after="60"/>
            </w:pPr>
            <w:r>
              <w:rPr>
                <w:rFonts w:eastAsia="Arial" w:cs="Arial"/>
              </w:rPr>
              <w:t>•  Securities Industry Essentials (SIE)</w:t>
            </w:r>
          </w:p>
          <w:p w14:paraId="6EAC3950" w14:textId="77777777" w:rsidR="00496F61" w:rsidRPr="00013D53" w:rsidRDefault="00496F61" w:rsidP="006C151B">
            <w:pPr>
              <w:spacing w:after="60"/>
            </w:pPr>
            <w:r>
              <w:rPr>
                <w:rFonts w:eastAsia="Arial" w:cs="Arial"/>
              </w:rPr>
              <w:t>•  Tennessee Real Estate Salesperson License</w:t>
            </w:r>
          </w:p>
          <w:p w14:paraId="601FA78C" w14:textId="77777777" w:rsidR="00496F61" w:rsidRPr="00013D53" w:rsidRDefault="00496F61" w:rsidP="006C151B">
            <w:pPr>
              <w:spacing w:after="60"/>
            </w:pPr>
            <w:r>
              <w:rPr>
                <w:rFonts w:eastAsia="Arial" w:cs="Arial"/>
              </w:rPr>
              <w:t>•  Tennessee Real Estate Broker License</w:t>
            </w:r>
          </w:p>
          <w:p w14:paraId="70BA91E6" w14:textId="03B68C76" w:rsidR="00496F61" w:rsidRPr="00013D53" w:rsidRDefault="00496F61" w:rsidP="006C151B">
            <w:pPr>
              <w:spacing w:after="60"/>
            </w:pPr>
            <w:r>
              <w:rPr>
                <w:rFonts w:eastAsia="Arial" w:cs="Arial"/>
              </w:rPr>
              <w:lastRenderedPageBreak/>
              <w:t>•  Auctioneer — TN License</w:t>
            </w:r>
          </w:p>
        </w:tc>
      </w:tr>
    </w:tbl>
    <w:p w14:paraId="06F33D38" w14:textId="77777777" w:rsidR="00496F61" w:rsidRDefault="00496F61" w:rsidP="00496F61">
      <w:pPr>
        <w:spacing w:after="80"/>
      </w:pPr>
    </w:p>
    <w:p w14:paraId="04F7F9C8" w14:textId="24215CA6" w:rsidR="00496F61" w:rsidRDefault="00EC72B1" w:rsidP="00EC72B1">
      <w:pPr>
        <w:pStyle w:val="Heading4"/>
      </w:pPr>
      <w:r>
        <w:t>Education Credentialing</w:t>
      </w:r>
    </w:p>
    <w:p w14:paraId="38362DDF" w14:textId="77777777" w:rsidR="00496F61" w:rsidRDefault="00496F61" w:rsidP="00496F61">
      <w:pPr>
        <w:spacing w:after="140"/>
        <w:jc w:val="both"/>
      </w:pPr>
      <w:r>
        <w:t xml:space="preserve">Workers already in educational roles — teaching assistants, instructors, preschool teachers — transition into fully licensed teaching or higher education roles. This pathway has the smallest volume in the typology but addresses one of Tennessee's most acute workforce challenges: the shortage of licensed classroom teachers. The modest average wage gain ($17,278) </w:t>
      </w:r>
      <w:proofErr w:type="spellStart"/>
      <w:r>
        <w:t>underreflects</w:t>
      </w:r>
      <w:proofErr w:type="spellEnd"/>
      <w:r>
        <w:t xml:space="preserve"> the true value of this pathway, as the primary benefit is career stability and access to public sector benefits and pension rather than immediate wage uplift.</w:t>
      </w:r>
    </w:p>
    <w:p w14:paraId="0FE8FE6E" w14:textId="31E7A372" w:rsidR="001177DD" w:rsidRDefault="001177DD" w:rsidP="00496F61">
      <w:pPr>
        <w:spacing w:after="140"/>
        <w:jc w:val="both"/>
      </w:pPr>
      <w:r>
        <w:t xml:space="preserve">Tennessee has a specific structural problem: Teaching Assistants represent the largest stranded worker cohort (2,160 in the career-stalling dataset) yet the Education Credentialing pathway shows very low observed transition volume. This gap between latent potential and actual transitions points to the absence of an accessible fast-track licensure route. A competency-based, part-time TA-to-teacher programme that credits classroom experience toward licensure requirements would directly address both the </w:t>
      </w:r>
      <w:proofErr w:type="spellStart"/>
      <w:r>
        <w:t>strandedness</w:t>
      </w:r>
      <w:proofErr w:type="spellEnd"/>
      <w:r>
        <w:t xml:space="preserve"> and the teacher supply problem simultaneously.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496F61" w14:paraId="62D20793" w14:textId="77777777" w:rsidTr="422BE760">
        <w:tc>
          <w:tcPr>
            <w:tcW w:w="2340" w:type="dxa"/>
            <w:tcBorders>
              <w:top w:val="single" w:sz="4" w:space="0" w:color="BBBBBB"/>
              <w:left w:val="single" w:sz="4" w:space="0" w:color="BBBBBB"/>
              <w:bottom w:val="single" w:sz="4" w:space="0" w:color="BBBBBB"/>
              <w:right w:val="single" w:sz="4" w:space="0" w:color="BBBBBB"/>
            </w:tcBorders>
            <w:shd w:val="clear" w:color="auto" w:fill="2E75B6"/>
            <w:tcMar>
              <w:top w:w="80" w:type="dxa"/>
              <w:left w:w="140" w:type="dxa"/>
              <w:bottom w:w="80" w:type="dxa"/>
              <w:right w:w="140" w:type="dxa"/>
            </w:tcMar>
          </w:tcPr>
          <w:p w14:paraId="118A910B" w14:textId="77777777" w:rsidR="00496F61" w:rsidRDefault="00496F61" w:rsidP="006C151B">
            <w:pPr>
              <w:jc w:val="center"/>
            </w:pPr>
            <w:r>
              <w:rPr>
                <w:rFonts w:ascii="Arial" w:eastAsia="Arial" w:hAnsi="Arial" w:cs="Arial"/>
                <w:b/>
                <w:bCs/>
                <w:color w:val="FFFFFF"/>
                <w:sz w:val="19"/>
                <w:szCs w:val="19"/>
              </w:rPr>
              <w:t>Typical Origin Occupations</w:t>
            </w:r>
          </w:p>
        </w:tc>
        <w:tc>
          <w:tcPr>
            <w:tcW w:w="2340" w:type="dxa"/>
            <w:tcBorders>
              <w:top w:val="single" w:sz="4" w:space="0" w:color="BBBBBB"/>
              <w:left w:val="single" w:sz="4" w:space="0" w:color="BBBBBB"/>
              <w:bottom w:val="single" w:sz="4" w:space="0" w:color="BBBBBB"/>
              <w:right w:val="single" w:sz="4" w:space="0" w:color="BBBBBB"/>
            </w:tcBorders>
            <w:shd w:val="clear" w:color="auto" w:fill="2E75B6"/>
            <w:tcMar>
              <w:top w:w="80" w:type="dxa"/>
              <w:left w:w="140" w:type="dxa"/>
              <w:bottom w:w="80" w:type="dxa"/>
              <w:right w:w="140" w:type="dxa"/>
            </w:tcMar>
          </w:tcPr>
          <w:p w14:paraId="0BEAFBFC" w14:textId="77777777" w:rsidR="00496F61" w:rsidRDefault="00496F61" w:rsidP="006C151B">
            <w:pPr>
              <w:jc w:val="center"/>
            </w:pPr>
            <w:r>
              <w:rPr>
                <w:rFonts w:ascii="Arial" w:eastAsia="Arial" w:hAnsi="Arial" w:cs="Arial"/>
                <w:b/>
                <w:bCs/>
                <w:color w:val="FFFFFF"/>
                <w:sz w:val="19"/>
                <w:szCs w:val="19"/>
              </w:rPr>
              <w:t>Typical Destination Occupations</w:t>
            </w:r>
          </w:p>
        </w:tc>
        <w:tc>
          <w:tcPr>
            <w:tcW w:w="2340" w:type="dxa"/>
            <w:tcBorders>
              <w:top w:val="single" w:sz="4" w:space="0" w:color="BBBBBB"/>
              <w:left w:val="single" w:sz="4" w:space="0" w:color="BBBBBB"/>
              <w:bottom w:val="single" w:sz="4" w:space="0" w:color="BBBBBB"/>
              <w:right w:val="single" w:sz="4" w:space="0" w:color="BBBBBB"/>
            </w:tcBorders>
            <w:shd w:val="clear" w:color="auto" w:fill="2E75B6"/>
            <w:tcMar>
              <w:top w:w="80" w:type="dxa"/>
              <w:left w:w="140" w:type="dxa"/>
              <w:bottom w:w="80" w:type="dxa"/>
              <w:right w:w="140" w:type="dxa"/>
            </w:tcMar>
          </w:tcPr>
          <w:p w14:paraId="50D1B3BC" w14:textId="77777777" w:rsidR="00496F61" w:rsidRDefault="00496F61" w:rsidP="006C151B">
            <w:pPr>
              <w:jc w:val="center"/>
            </w:pPr>
            <w:r>
              <w:rPr>
                <w:rFonts w:ascii="Arial" w:eastAsia="Arial" w:hAnsi="Arial" w:cs="Arial"/>
                <w:b/>
                <w:bCs/>
                <w:color w:val="FFFFFF"/>
                <w:sz w:val="19"/>
                <w:szCs w:val="19"/>
              </w:rPr>
              <w:t>Key Skills Required</w:t>
            </w:r>
          </w:p>
        </w:tc>
        <w:tc>
          <w:tcPr>
            <w:tcW w:w="2340" w:type="dxa"/>
            <w:tcBorders>
              <w:top w:val="single" w:sz="4" w:space="0" w:color="BBBBBB"/>
              <w:left w:val="single" w:sz="4" w:space="0" w:color="BBBBBB"/>
              <w:bottom w:val="single" w:sz="4" w:space="0" w:color="BBBBBB"/>
              <w:right w:val="single" w:sz="4" w:space="0" w:color="BBBBBB"/>
            </w:tcBorders>
            <w:shd w:val="clear" w:color="auto" w:fill="2E75B6"/>
            <w:tcMar>
              <w:top w:w="80" w:type="dxa"/>
              <w:left w:w="140" w:type="dxa"/>
              <w:bottom w:w="80" w:type="dxa"/>
              <w:right w:w="140" w:type="dxa"/>
            </w:tcMar>
          </w:tcPr>
          <w:p w14:paraId="17E90E30" w14:textId="1BC84BAC" w:rsidR="00496F61" w:rsidRDefault="00496F61" w:rsidP="006C151B">
            <w:pPr>
              <w:jc w:val="center"/>
            </w:pPr>
            <w:r>
              <w:rPr>
                <w:rFonts w:ascii="Arial" w:eastAsia="Arial" w:hAnsi="Arial" w:cs="Arial"/>
                <w:b/>
                <w:bCs/>
                <w:color w:val="FFFFFF"/>
                <w:sz w:val="19"/>
                <w:szCs w:val="19"/>
              </w:rPr>
              <w:t>Key Credentials / Licenses</w:t>
            </w:r>
          </w:p>
        </w:tc>
      </w:tr>
      <w:tr w:rsidR="00496F61" w14:paraId="37BD2462" w14:textId="77777777" w:rsidTr="422BE760">
        <w:tc>
          <w:tcPr>
            <w:tcW w:w="234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80" w:type="dxa"/>
              <w:left w:w="140" w:type="dxa"/>
              <w:bottom w:w="80" w:type="dxa"/>
              <w:right w:w="140" w:type="dxa"/>
            </w:tcMar>
          </w:tcPr>
          <w:p w14:paraId="2E797ED3" w14:textId="77777777" w:rsidR="00496F61" w:rsidRDefault="00496F61" w:rsidP="006C151B">
            <w:pPr>
              <w:spacing w:after="60"/>
            </w:pPr>
            <w:r>
              <w:t>•  Other Teachers and Instructors</w:t>
            </w:r>
          </w:p>
          <w:p w14:paraId="407C09EF" w14:textId="77777777" w:rsidR="00496F61" w:rsidRDefault="00496F61" w:rsidP="006C151B">
            <w:pPr>
              <w:spacing w:after="60"/>
            </w:pPr>
            <w:r>
              <w:t>•  Preschool and Kindergarten Teachers</w:t>
            </w:r>
          </w:p>
          <w:p w14:paraId="7195E685" w14:textId="77777777" w:rsidR="00496F61" w:rsidRDefault="00496F61" w:rsidP="006C151B">
            <w:pPr>
              <w:spacing w:after="60"/>
            </w:pPr>
            <w:r>
              <w:t>•  Other educational instruction and library workers</w:t>
            </w:r>
          </w:p>
          <w:p w14:paraId="1EB96E36" w14:textId="77777777" w:rsidR="00496F61" w:rsidRDefault="00496F61" w:rsidP="006C151B">
            <w:pPr>
              <w:spacing w:after="60"/>
            </w:pPr>
            <w:r>
              <w:t>•  Teaching Assistants</w:t>
            </w:r>
          </w:p>
          <w:p w14:paraId="4AC5C4B0" w14:textId="77777777" w:rsidR="00496F61" w:rsidRDefault="00496F61" w:rsidP="006C151B">
            <w:pPr>
              <w:spacing w:after="60"/>
            </w:pPr>
            <w:r>
              <w:t>•  Special Education Teachers</w:t>
            </w:r>
          </w:p>
          <w:p w14:paraId="2017812F" w14:textId="77777777" w:rsidR="00496F61" w:rsidRDefault="00496F61" w:rsidP="006C151B">
            <w:pPr>
              <w:spacing w:after="60"/>
            </w:pPr>
            <w:r>
              <w:lastRenderedPageBreak/>
              <w:t>•  Elementary and Middle School Teachers</w:t>
            </w:r>
          </w:p>
        </w:tc>
        <w:tc>
          <w:tcPr>
            <w:tcW w:w="234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80" w:type="dxa"/>
              <w:left w:w="140" w:type="dxa"/>
              <w:bottom w:w="80" w:type="dxa"/>
              <w:right w:w="140" w:type="dxa"/>
            </w:tcMar>
          </w:tcPr>
          <w:p w14:paraId="4E9342D3" w14:textId="77777777" w:rsidR="00496F61" w:rsidRDefault="00496F61" w:rsidP="006C151B">
            <w:pPr>
              <w:spacing w:after="60"/>
            </w:pPr>
            <w:r>
              <w:lastRenderedPageBreak/>
              <w:t>•  Secondary School Teachers</w:t>
            </w:r>
          </w:p>
          <w:p w14:paraId="40C3BB78" w14:textId="77777777" w:rsidR="00496F61" w:rsidRDefault="00496F61" w:rsidP="006C151B">
            <w:pPr>
              <w:spacing w:after="60"/>
            </w:pPr>
            <w:r>
              <w:t>•  Postsecondary Teachers</w:t>
            </w:r>
          </w:p>
          <w:p w14:paraId="2FFBCACE" w14:textId="77777777" w:rsidR="00496F61" w:rsidRDefault="00496F61" w:rsidP="006C151B">
            <w:pPr>
              <w:spacing w:after="60"/>
            </w:pPr>
            <w:r>
              <w:t>•  Elementary and Middle School Teachers</w:t>
            </w:r>
          </w:p>
          <w:p w14:paraId="699FFD00" w14:textId="77777777" w:rsidR="00496F61" w:rsidRDefault="00496F61" w:rsidP="006C151B">
            <w:pPr>
              <w:spacing w:after="60"/>
            </w:pPr>
            <w:r>
              <w:t>•  Special Education Teachers</w:t>
            </w:r>
          </w:p>
          <w:p w14:paraId="39B9E3BC" w14:textId="77777777" w:rsidR="00496F61" w:rsidRDefault="00496F61" w:rsidP="006C151B">
            <w:pPr>
              <w:spacing w:after="60"/>
            </w:pPr>
            <w:r>
              <w:t>•  Preschool and Kindergarten Teachers</w:t>
            </w:r>
          </w:p>
          <w:p w14:paraId="2B626B01" w14:textId="77777777" w:rsidR="00496F61" w:rsidRDefault="00496F61" w:rsidP="006C151B">
            <w:pPr>
              <w:spacing w:after="60"/>
            </w:pPr>
            <w:r>
              <w:t xml:space="preserve">•  Archivists, Curators, and </w:t>
            </w:r>
            <w:r>
              <w:lastRenderedPageBreak/>
              <w:t>Museum Technicians</w:t>
            </w:r>
          </w:p>
        </w:tc>
        <w:tc>
          <w:tcPr>
            <w:tcW w:w="234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80" w:type="dxa"/>
              <w:left w:w="140" w:type="dxa"/>
              <w:bottom w:w="80" w:type="dxa"/>
              <w:right w:w="140" w:type="dxa"/>
            </w:tcMar>
          </w:tcPr>
          <w:p w14:paraId="5C952C7B" w14:textId="77777777" w:rsidR="00496F61" w:rsidRDefault="00496F61" w:rsidP="006C151B">
            <w:pPr>
              <w:spacing w:after="60"/>
            </w:pPr>
            <w:r>
              <w:lastRenderedPageBreak/>
              <w:t>•  Lesson Planning</w:t>
            </w:r>
          </w:p>
          <w:p w14:paraId="79AFD8AE" w14:textId="77777777" w:rsidR="00496F61" w:rsidRDefault="00496F61" w:rsidP="006C151B">
            <w:pPr>
              <w:spacing w:after="60"/>
            </w:pPr>
            <w:r>
              <w:t>•  Mathematics Education</w:t>
            </w:r>
          </w:p>
          <w:p w14:paraId="6A188AD0" w14:textId="77777777" w:rsidR="00496F61" w:rsidRDefault="00496F61" w:rsidP="006C151B">
            <w:pPr>
              <w:spacing w:after="60"/>
            </w:pPr>
            <w:r>
              <w:t>•  Instructional Strategies</w:t>
            </w:r>
          </w:p>
          <w:p w14:paraId="4A92344A" w14:textId="77777777" w:rsidR="00496F61" w:rsidRDefault="00496F61" w:rsidP="006C151B">
            <w:pPr>
              <w:spacing w:after="60"/>
            </w:pPr>
            <w:r>
              <w:t>•  Learning Management Systems</w:t>
            </w:r>
          </w:p>
          <w:p w14:paraId="65ECD5D8" w14:textId="77777777" w:rsidR="00496F61" w:rsidRDefault="00496F61" w:rsidP="006C151B">
            <w:pPr>
              <w:spacing w:after="60"/>
            </w:pPr>
            <w:r>
              <w:t>•  Academic Advising</w:t>
            </w:r>
          </w:p>
          <w:p w14:paraId="49D4ACF0" w14:textId="77777777" w:rsidR="00496F61" w:rsidRDefault="00496F61" w:rsidP="006C151B">
            <w:pPr>
              <w:spacing w:after="60"/>
            </w:pPr>
            <w:r>
              <w:t>•  Special Education</w:t>
            </w:r>
          </w:p>
          <w:p w14:paraId="7EFB5B7C" w14:textId="77777777" w:rsidR="00496F61" w:rsidRDefault="00496F61" w:rsidP="006C151B">
            <w:pPr>
              <w:spacing w:after="60"/>
            </w:pPr>
            <w:r>
              <w:t>•  Teaching</w:t>
            </w:r>
          </w:p>
        </w:tc>
        <w:tc>
          <w:tcPr>
            <w:tcW w:w="2340" w:type="dxa"/>
            <w:tcBorders>
              <w:top w:val="single" w:sz="4" w:space="0" w:color="BBBBBB"/>
              <w:left w:val="single" w:sz="4" w:space="0" w:color="BBBBBB"/>
              <w:bottom w:val="single" w:sz="4" w:space="0" w:color="BBBBBB"/>
              <w:right w:val="single" w:sz="4" w:space="0" w:color="BBBBBB"/>
            </w:tcBorders>
            <w:shd w:val="clear" w:color="auto" w:fill="FFFFFF" w:themeFill="background1"/>
            <w:tcMar>
              <w:top w:w="80" w:type="dxa"/>
              <w:left w:w="140" w:type="dxa"/>
              <w:bottom w:w="80" w:type="dxa"/>
              <w:right w:w="140" w:type="dxa"/>
            </w:tcMar>
          </w:tcPr>
          <w:p w14:paraId="208B71A7" w14:textId="77777777" w:rsidR="00496F61" w:rsidRDefault="00496F61" w:rsidP="006C151B">
            <w:pPr>
              <w:spacing w:after="60"/>
            </w:pPr>
            <w:r>
              <w:t>•  Praxis Subject Assessment</w:t>
            </w:r>
          </w:p>
          <w:p w14:paraId="0BF19E42" w14:textId="77777777" w:rsidR="00496F61" w:rsidRDefault="00496F61" w:rsidP="006C151B">
            <w:pPr>
              <w:spacing w:after="60"/>
            </w:pPr>
            <w:r>
              <w:t>•  Praxis Core Academic Skills for Educators</w:t>
            </w:r>
          </w:p>
          <w:p w14:paraId="4F510758" w14:textId="77777777" w:rsidR="00496F61" w:rsidRDefault="00496F61" w:rsidP="006C151B">
            <w:pPr>
              <w:spacing w:after="60"/>
            </w:pPr>
            <w:r>
              <w:t>•  Praxis Special Education</w:t>
            </w:r>
          </w:p>
          <w:p w14:paraId="72938BBD" w14:textId="77777777" w:rsidR="00496F61" w:rsidRDefault="00496F61" w:rsidP="006C151B">
            <w:pPr>
              <w:spacing w:after="60"/>
            </w:pPr>
            <w:r>
              <w:t>•  CPR / First Aid Certification</w:t>
            </w:r>
          </w:p>
          <w:p w14:paraId="2164CA86" w14:textId="77777777" w:rsidR="00496F61" w:rsidRDefault="00496F61" w:rsidP="006C151B">
            <w:pPr>
              <w:spacing w:after="60"/>
            </w:pPr>
            <w:r>
              <w:t>•  Crisis Prevention Intervention (CPI) Certification</w:t>
            </w:r>
          </w:p>
          <w:p w14:paraId="32BA29B5" w14:textId="77777777" w:rsidR="00496F61" w:rsidRDefault="00496F61" w:rsidP="006C151B">
            <w:pPr>
              <w:spacing w:after="60"/>
            </w:pPr>
            <w:r>
              <w:t xml:space="preserve">•  Child Development </w:t>
            </w:r>
            <w:r>
              <w:lastRenderedPageBreak/>
              <w:t>Associate (CDA) Credential</w:t>
            </w:r>
          </w:p>
          <w:p w14:paraId="2ADED2FB" w14:textId="2F72142E" w:rsidR="00496F61" w:rsidRDefault="00496F61" w:rsidP="006C151B">
            <w:pPr>
              <w:spacing w:after="60"/>
            </w:pPr>
            <w:r>
              <w:t>•  Educator licenses</w:t>
            </w:r>
          </w:p>
        </w:tc>
      </w:tr>
    </w:tbl>
    <w:p w14:paraId="1E1C50EF" w14:textId="77777777" w:rsidR="00F33F20" w:rsidRDefault="00F33F20" w:rsidP="00F33F20"/>
    <w:p w14:paraId="6F791379" w14:textId="19D30790" w:rsidR="00393CA8" w:rsidRDefault="00393CA8" w:rsidP="00B10381">
      <w:pPr>
        <w:pStyle w:val="Heading2"/>
      </w:pPr>
      <w:r>
        <w:t>Cross-cutting pathways</w:t>
      </w:r>
    </w:p>
    <w:p w14:paraId="062F8E03" w14:textId="77777777" w:rsidR="00C7692B" w:rsidRPr="00A644D9" w:rsidRDefault="00C7692B" w:rsidP="00C7692B">
      <w:r w:rsidRPr="00A644D9">
        <w:t xml:space="preserve">Looking across the </w:t>
      </w:r>
      <w:proofErr w:type="spellStart"/>
      <w:r w:rsidRPr="00A644D9">
        <w:t>destranding</w:t>
      </w:r>
      <w:proofErr w:type="spellEnd"/>
      <w:r w:rsidRPr="00A644D9">
        <w:t xml:space="preserve"> pathways overall, the following patterns </w:t>
      </w:r>
      <w:r>
        <w:t>are observable</w:t>
      </w:r>
      <w:r w:rsidRPr="00A644D9">
        <w:t xml:space="preserve"> – and are particularly notable/of use for stranded workers who do not wish to commit to one given pathway, but build skills facilitating a range of transition options.</w:t>
      </w:r>
    </w:p>
    <w:p w14:paraId="6967C94D" w14:textId="77777777" w:rsidR="00C7692B" w:rsidRPr="00B10381" w:rsidRDefault="00C7692B" w:rsidP="00C7692B">
      <w:r>
        <w:rPr>
          <w:b/>
          <w:bCs/>
        </w:rPr>
        <w:t xml:space="preserve">Most </w:t>
      </w:r>
      <w:proofErr w:type="spellStart"/>
      <w:r>
        <w:rPr>
          <w:b/>
          <w:bCs/>
        </w:rPr>
        <w:t>destranding</w:t>
      </w:r>
      <w:proofErr w:type="spellEnd"/>
      <w:r>
        <w:rPr>
          <w:b/>
          <w:bCs/>
        </w:rPr>
        <w:t xml:space="preserve"> transitions require moving up the credential ladder.</w:t>
      </w:r>
      <w:r>
        <w:t xml:space="preserve"> Across </w:t>
      </w:r>
      <w:proofErr w:type="gramStart"/>
      <w:r>
        <w:t>all  pathways</w:t>
      </w:r>
      <w:proofErr w:type="gramEnd"/>
      <w:r>
        <w:t>, 48% land in destination occupations whose modal worker holds a higher qualification than the modal worker in the source occupation. 38% stay at the same modal-education level, and 14% land in destinations where the typical education is actually lower. The shift in the overall education profile between source and destination occupations is visible in the aggregate: the share of workers with bachelor's degrees rises from 22% to 35% between source and destination, master's degrees from 10% to 14%, and professional/doctorate qualifications double from 3% to 6%. Sub-degree workers shrink as a share of destination occupations at every level below bachelor's — most sharply for high-school graduates (28% → 18%) and workers with some college (21% → 16%).</w:t>
      </w:r>
    </w:p>
    <w:p w14:paraId="4DA2825D" w14:textId="77777777" w:rsidR="00C7692B" w:rsidRPr="00B10381" w:rsidRDefault="00C7692B" w:rsidP="00C7692B">
      <w:r>
        <w:rPr>
          <w:b/>
          <w:bCs/>
        </w:rPr>
        <w:t>That said, the most commonly required credential type is not a degree at all.</w:t>
      </w:r>
      <w:r>
        <w:t xml:space="preserve"> Project and process management certifications — PMP, Lean Six Sigma, Scrum Master, CAPM — appear in one in eight </w:t>
      </w:r>
      <w:proofErr w:type="spellStart"/>
      <w:r>
        <w:t>destranding</w:t>
      </w:r>
      <w:proofErr w:type="spellEnd"/>
      <w:r>
        <w:t xml:space="preserve"> pathways. Many of these are employer-recognised, relatively affordable, available online, and do not require a prior degree as a prerequisite. For a substantial portion of stranded workers, the credential barrier is a certification that can be obtained in weeks or months rather than years.</w:t>
      </w:r>
    </w:p>
    <w:p w14:paraId="6E6FF922" w14:textId="77777777" w:rsidR="00C7692B" w:rsidRPr="00B10381" w:rsidRDefault="00C7692B" w:rsidP="00C7692B">
      <w:r>
        <w:rPr>
          <w:b/>
          <w:bCs/>
        </w:rPr>
        <w:t>Associate's degrees appear nearly as often as any other single category.</w:t>
      </w:r>
      <w:r>
        <w:t xml:space="preserve"> They often appear in transitions where the destination is in nursing or allied health — an Associate Degree in Nursing (ADN) being the most common route to registered nurse licensure in Tennessee, and the qualification appearing repeatedly across healthcare ladder destinations. For workers without existing higher education, an associate's degree is frequently the most accessible on-ramp to the most impactful transitions available. As we see in the underemployment data, they can also lack impact – this is an area where more granular analysis of specific courses and particular transitions is vital. The app developed alongside this report is ideal for this kind of analysis. </w:t>
      </w:r>
    </w:p>
    <w:p w14:paraId="58B574E7" w14:textId="77777777" w:rsidR="00C7692B" w:rsidRDefault="00C7692B" w:rsidP="00C7692B">
      <w:r>
        <w:rPr>
          <w:b/>
          <w:bCs/>
        </w:rPr>
        <w:t>Master's-level transitions tend to cluster in the upper tiers of the healthcare ladder and in advanced financial-analyst roles.</w:t>
      </w:r>
      <w:r>
        <w:t xml:space="preserve"> The upper tiers of the healthcare ladder (RN </w:t>
      </w:r>
      <w:r>
        <w:lastRenderedPageBreak/>
        <w:t xml:space="preserve">to nurse practitioner, which typically requires a master's) and senior management/financial analyst roles are the main examples. The required education upgrade is substantial here — these are not short-cycle investments — but the wage gains and </w:t>
      </w:r>
      <w:proofErr w:type="spellStart"/>
      <w:r>
        <w:t>strandedness</w:t>
      </w:r>
      <w:proofErr w:type="spellEnd"/>
      <w:r>
        <w:t xml:space="preserve"> reductions in these transitions are correspondingly large.</w:t>
      </w:r>
    </w:p>
    <w:p w14:paraId="44529CF5" w14:textId="77777777" w:rsidR="00C7692B" w:rsidRDefault="00C7692B" w:rsidP="00C7692B">
      <w:r>
        <w:t xml:space="preserve">Other common cross-cutting pathways out of </w:t>
      </w:r>
      <w:proofErr w:type="spellStart"/>
      <w:r>
        <w:t>strandedness</w:t>
      </w:r>
      <w:proofErr w:type="spellEnd"/>
      <w:r>
        <w:t xml:space="preserve"> include </w:t>
      </w:r>
      <w:r>
        <w:rPr>
          <w:b/>
          <w:bCs/>
        </w:rPr>
        <w:t>IT and cloud certifications</w:t>
      </w:r>
      <w:r>
        <w:t xml:space="preserve"> (CompTIA, AWS, Azure, Cisco, ITIL), </w:t>
      </w:r>
      <w:r w:rsidRPr="002C229A">
        <w:rPr>
          <w:b/>
          <w:bCs/>
        </w:rPr>
        <w:t>Finance and HR certifications</w:t>
      </w:r>
      <w:r>
        <w:t xml:space="preserve"> (CPA, CFA, SHRM-CP, PHR, CFP, CMA, CIA, FMVA, plus the Series securities Licenses) and </w:t>
      </w:r>
      <w:r w:rsidRPr="002C229A">
        <w:rPr>
          <w:b/>
          <w:bCs/>
        </w:rPr>
        <w:t>Clinical safety certifications</w:t>
      </w:r>
      <w:r>
        <w:t xml:space="preserve"> (BLS, ACLS, PALS).</w:t>
      </w:r>
    </w:p>
    <w:p w14:paraId="58944619" w14:textId="77777777" w:rsidR="00B10381" w:rsidRDefault="00B10381" w:rsidP="00F33F20"/>
    <w:p w14:paraId="25E5F1A4" w14:textId="77777777" w:rsidR="00B10381" w:rsidRDefault="00B10381" w:rsidP="00F33F20"/>
    <w:p w14:paraId="61842D07" w14:textId="77777777" w:rsidR="00704D16" w:rsidRDefault="00704D16">
      <w:pPr>
        <w:rPr>
          <w:rFonts w:asciiTheme="majorHAnsi" w:eastAsiaTheme="majorEastAsia" w:hAnsiTheme="majorHAnsi" w:cstheme="majorBidi"/>
          <w:color w:val="0F4761" w:themeColor="accent1" w:themeShade="BF"/>
          <w:sz w:val="40"/>
          <w:szCs w:val="40"/>
        </w:rPr>
      </w:pPr>
      <w:r>
        <w:br w:type="page"/>
      </w:r>
    </w:p>
    <w:p w14:paraId="6EA3D77E" w14:textId="1EA9573B" w:rsidR="00F33F20" w:rsidRDefault="00484FEB" w:rsidP="00704D16">
      <w:pPr>
        <w:pStyle w:val="Heading1"/>
      </w:pPr>
      <w:r>
        <w:lastRenderedPageBreak/>
        <w:t>AI exposure</w:t>
      </w:r>
    </w:p>
    <w:p w14:paraId="1558A6C4" w14:textId="32DD47BE" w:rsidR="002D3A50" w:rsidRDefault="002D3A50" w:rsidP="00565144">
      <w:r>
        <w:t>High levels of AI exposure represent a structural feature of Tennessee's occupational mix, concentrated in the sectors and occupations that happen to also be the most heavily stranded.</w:t>
      </w:r>
    </w:p>
    <w:p w14:paraId="1CEAA755" w14:textId="5F8AE358" w:rsidR="002D3A50" w:rsidRDefault="002D3A50" w:rsidP="00565144">
      <w:r>
        <w:t xml:space="preserve">Automation exposure as </w:t>
      </w:r>
      <w:proofErr w:type="spellStart"/>
      <w:r>
        <w:t>analyzed</w:t>
      </w:r>
      <w:proofErr w:type="spellEnd"/>
      <w:r>
        <w:t xml:space="preserve"> in this report refers to the Burning Glass Institute’s analysis of the share of each occupation’s task content that are estimated to be automatable. We also provide an augmentation score – what proportion of a role’s tasks are likely to be augmented by AI, i.e. enhancing a human’s ability rather than replacing it. Further details are available in the methodology appendix.</w:t>
      </w:r>
    </w:p>
    <w:p w14:paraId="1C2864A6" w14:textId="4E67D957" w:rsidR="00565144" w:rsidRDefault="00565144" w:rsidP="00565144">
      <w:r>
        <w:t>The occupations with the largest worker populations and the highest automation scores illustrate what is at stake. Customer Service Representatives employ over 51,000 Tennesseans and score 0.65 on automation exposure</w:t>
      </w:r>
      <w:r w:rsidR="002D3A50">
        <w:t xml:space="preserve"> — that is, 65% of the tasks associated with this role are considered automatable</w:t>
      </w:r>
      <w:r>
        <w:t>. Laborers and Freight, Stock, and Material Movers — nearly 40,000 workers — score 0.68. Shipping and Receiving Clerks, Receptionists, Office Clerks, and Waiters and Waitresses collectively account for tens of thousands more workers, all scoring above 0.64. These are not niche occupations. They are the fabric of Tennessee's service, logistics, and administrative economy, and they are precisely the roles where AI-driven scheduling tools, automated check-in systems, voice agents, and warehouse robotics are advancing most rapidly.</w:t>
      </w:r>
    </w:p>
    <w:p w14:paraId="79FA5C5D" w14:textId="77777777" w:rsidR="00396D00" w:rsidRDefault="00396D00" w:rsidP="00565144"/>
    <w:p w14:paraId="42C04AB4" w14:textId="6B5CB10E" w:rsidR="00564E3D" w:rsidRPr="00564E3D" w:rsidRDefault="00564E3D" w:rsidP="00565144">
      <w:pPr>
        <w:rPr>
          <w:b/>
          <w:bCs/>
        </w:rPr>
      </w:pPr>
      <w:r w:rsidRPr="00A55063">
        <w:rPr>
          <w:b/>
          <w:bCs/>
        </w:rPr>
        <w:t>Figure X. Occupations by automation risk score and number of stranded workers employed in Tennessee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00"/>
        <w:gridCol w:w="2600"/>
        <w:gridCol w:w="2360"/>
      </w:tblGrid>
      <w:tr w:rsidR="00396D00" w14:paraId="4E7C244C" w14:textId="77777777" w:rsidTr="006C151B">
        <w:trPr>
          <w:tblHeader/>
        </w:trPr>
        <w:tc>
          <w:tcPr>
            <w:tcW w:w="4400" w:type="dxa"/>
            <w:tcBorders>
              <w:top w:val="single" w:sz="4" w:space="0" w:color="AAAAAA"/>
              <w:left w:val="single" w:sz="4" w:space="0" w:color="AAAAAA"/>
              <w:bottom w:val="single" w:sz="4" w:space="0" w:color="AAAAAA"/>
              <w:right w:val="single" w:sz="4" w:space="0" w:color="AAAAAA"/>
            </w:tcBorders>
            <w:shd w:val="clear" w:color="auto" w:fill="1F4E79"/>
            <w:tcMar>
              <w:top w:w="80" w:type="dxa"/>
              <w:left w:w="160" w:type="dxa"/>
              <w:bottom w:w="80" w:type="dxa"/>
              <w:right w:w="160" w:type="dxa"/>
            </w:tcMar>
          </w:tcPr>
          <w:p w14:paraId="6726B2DC" w14:textId="77777777" w:rsidR="00396D00" w:rsidRDefault="00396D00" w:rsidP="006C151B">
            <w:r>
              <w:rPr>
                <w:rFonts w:ascii="Arial" w:eastAsia="Arial" w:hAnsi="Arial" w:cs="Arial"/>
                <w:b/>
                <w:bCs/>
                <w:color w:val="FFFFFF"/>
                <w:sz w:val="20"/>
                <w:szCs w:val="20"/>
              </w:rPr>
              <w:t>Occupation</w:t>
            </w:r>
          </w:p>
        </w:tc>
        <w:tc>
          <w:tcPr>
            <w:tcW w:w="2600" w:type="dxa"/>
            <w:tcBorders>
              <w:top w:val="single" w:sz="4" w:space="0" w:color="AAAAAA"/>
              <w:left w:val="single" w:sz="4" w:space="0" w:color="AAAAAA"/>
              <w:bottom w:val="single" w:sz="4" w:space="0" w:color="AAAAAA"/>
              <w:right w:val="single" w:sz="4" w:space="0" w:color="AAAAAA"/>
            </w:tcBorders>
            <w:shd w:val="clear" w:color="auto" w:fill="1F4E79"/>
            <w:tcMar>
              <w:top w:w="80" w:type="dxa"/>
              <w:left w:w="160" w:type="dxa"/>
              <w:bottom w:w="80" w:type="dxa"/>
              <w:right w:w="160" w:type="dxa"/>
            </w:tcMar>
          </w:tcPr>
          <w:p w14:paraId="52A8893F" w14:textId="77777777" w:rsidR="00396D00" w:rsidRDefault="00396D00" w:rsidP="006C151B">
            <w:r>
              <w:rPr>
                <w:rFonts w:ascii="Arial" w:eastAsia="Arial" w:hAnsi="Arial" w:cs="Arial"/>
                <w:b/>
                <w:bCs/>
                <w:color w:val="FFFFFF"/>
                <w:sz w:val="20"/>
                <w:szCs w:val="20"/>
              </w:rPr>
              <w:t>Stranded Workers</w:t>
            </w:r>
          </w:p>
        </w:tc>
        <w:tc>
          <w:tcPr>
            <w:tcW w:w="2360" w:type="dxa"/>
            <w:tcBorders>
              <w:top w:val="single" w:sz="4" w:space="0" w:color="AAAAAA"/>
              <w:left w:val="single" w:sz="4" w:space="0" w:color="AAAAAA"/>
              <w:bottom w:val="single" w:sz="4" w:space="0" w:color="AAAAAA"/>
              <w:right w:val="single" w:sz="4" w:space="0" w:color="AAAAAA"/>
            </w:tcBorders>
            <w:shd w:val="clear" w:color="auto" w:fill="1F4E79"/>
            <w:tcMar>
              <w:top w:w="80" w:type="dxa"/>
              <w:left w:w="160" w:type="dxa"/>
              <w:bottom w:w="80" w:type="dxa"/>
              <w:right w:w="160" w:type="dxa"/>
            </w:tcMar>
          </w:tcPr>
          <w:p w14:paraId="26A6223C" w14:textId="77777777" w:rsidR="00396D00" w:rsidRDefault="00396D00" w:rsidP="006C151B">
            <w:r>
              <w:rPr>
                <w:rFonts w:ascii="Arial" w:eastAsia="Arial" w:hAnsi="Arial" w:cs="Arial"/>
                <w:b/>
                <w:bCs/>
                <w:color w:val="FFFFFF"/>
                <w:sz w:val="20"/>
                <w:szCs w:val="20"/>
              </w:rPr>
              <w:t>Automation Risk Score</w:t>
            </w:r>
          </w:p>
        </w:tc>
      </w:tr>
      <w:tr w:rsidR="00396D00" w14:paraId="5DBBAA17" w14:textId="77777777" w:rsidTr="006C151B">
        <w:tc>
          <w:tcPr>
            <w:tcW w:w="4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60" w:type="dxa"/>
              <w:bottom w:w="60" w:type="dxa"/>
              <w:right w:w="160" w:type="dxa"/>
            </w:tcMar>
          </w:tcPr>
          <w:p w14:paraId="0B8962E9" w14:textId="77777777" w:rsidR="00396D00" w:rsidRDefault="00396D00" w:rsidP="006C151B">
            <w:r>
              <w:rPr>
                <w:rFonts w:ascii="Arial" w:eastAsia="Arial" w:hAnsi="Arial" w:cs="Arial"/>
                <w:sz w:val="20"/>
                <w:szCs w:val="20"/>
              </w:rPr>
              <w:t>Laborers &amp; Freight / Stock / Material Movers</w:t>
            </w:r>
          </w:p>
        </w:tc>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60" w:type="dxa"/>
              <w:bottom w:w="60" w:type="dxa"/>
              <w:right w:w="160" w:type="dxa"/>
            </w:tcMar>
          </w:tcPr>
          <w:p w14:paraId="30A43C51" w14:textId="77777777" w:rsidR="00396D00" w:rsidRDefault="00396D00" w:rsidP="006C151B">
            <w:pPr>
              <w:jc w:val="right"/>
            </w:pPr>
            <w:r>
              <w:rPr>
                <w:rFonts w:ascii="Arial" w:eastAsia="Arial" w:hAnsi="Arial" w:cs="Arial"/>
                <w:sz w:val="20"/>
                <w:szCs w:val="20"/>
              </w:rPr>
              <w:t>14,868</w:t>
            </w:r>
          </w:p>
        </w:tc>
        <w:tc>
          <w:tcPr>
            <w:tcW w:w="23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60" w:type="dxa"/>
              <w:bottom w:w="60" w:type="dxa"/>
              <w:right w:w="160" w:type="dxa"/>
            </w:tcMar>
          </w:tcPr>
          <w:p w14:paraId="27AAC7B1" w14:textId="77777777" w:rsidR="00396D00" w:rsidRDefault="00396D00" w:rsidP="006C151B">
            <w:pPr>
              <w:jc w:val="right"/>
            </w:pPr>
            <w:r>
              <w:rPr>
                <w:rFonts w:ascii="Arial" w:eastAsia="Arial" w:hAnsi="Arial" w:cs="Arial"/>
                <w:sz w:val="20"/>
                <w:szCs w:val="20"/>
              </w:rPr>
              <w:t>0.68</w:t>
            </w:r>
          </w:p>
        </w:tc>
      </w:tr>
      <w:tr w:rsidR="00396D00" w14:paraId="221ABBED" w14:textId="77777777" w:rsidTr="006C151B">
        <w:tc>
          <w:tcPr>
            <w:tcW w:w="44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60" w:type="dxa"/>
              <w:bottom w:w="60" w:type="dxa"/>
              <w:right w:w="160" w:type="dxa"/>
            </w:tcMar>
          </w:tcPr>
          <w:p w14:paraId="03791791" w14:textId="77777777" w:rsidR="00396D00" w:rsidRDefault="00396D00" w:rsidP="006C151B">
            <w:r>
              <w:rPr>
                <w:rFonts w:ascii="Arial" w:eastAsia="Arial" w:hAnsi="Arial" w:cs="Arial"/>
                <w:sz w:val="20"/>
                <w:szCs w:val="20"/>
              </w:rPr>
              <w:t>Customer Service Representatives</w:t>
            </w:r>
          </w:p>
        </w:tc>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60" w:type="dxa"/>
              <w:bottom w:w="60" w:type="dxa"/>
              <w:right w:w="160" w:type="dxa"/>
            </w:tcMar>
          </w:tcPr>
          <w:p w14:paraId="5789B5AB" w14:textId="77777777" w:rsidR="00396D00" w:rsidRDefault="00396D00" w:rsidP="006C151B">
            <w:pPr>
              <w:jc w:val="right"/>
            </w:pPr>
            <w:r>
              <w:rPr>
                <w:rFonts w:ascii="Arial" w:eastAsia="Arial" w:hAnsi="Arial" w:cs="Arial"/>
                <w:sz w:val="20"/>
                <w:szCs w:val="20"/>
              </w:rPr>
              <w:t>20,166</w:t>
            </w:r>
          </w:p>
        </w:tc>
        <w:tc>
          <w:tcPr>
            <w:tcW w:w="23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60" w:type="dxa"/>
              <w:bottom w:w="60" w:type="dxa"/>
              <w:right w:w="160" w:type="dxa"/>
            </w:tcMar>
          </w:tcPr>
          <w:p w14:paraId="590B5077" w14:textId="77777777" w:rsidR="00396D00" w:rsidRDefault="00396D00" w:rsidP="006C151B">
            <w:pPr>
              <w:jc w:val="right"/>
            </w:pPr>
            <w:r>
              <w:rPr>
                <w:rFonts w:ascii="Arial" w:eastAsia="Arial" w:hAnsi="Arial" w:cs="Arial"/>
                <w:sz w:val="20"/>
                <w:szCs w:val="20"/>
              </w:rPr>
              <w:t>0.65</w:t>
            </w:r>
          </w:p>
        </w:tc>
      </w:tr>
      <w:tr w:rsidR="00396D00" w14:paraId="3FEA14C4" w14:textId="77777777" w:rsidTr="006C151B">
        <w:tc>
          <w:tcPr>
            <w:tcW w:w="4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60" w:type="dxa"/>
              <w:bottom w:w="60" w:type="dxa"/>
              <w:right w:w="160" w:type="dxa"/>
            </w:tcMar>
          </w:tcPr>
          <w:p w14:paraId="76A82CA4" w14:textId="77777777" w:rsidR="00396D00" w:rsidRDefault="00396D00" w:rsidP="006C151B">
            <w:r>
              <w:rPr>
                <w:rFonts w:ascii="Arial" w:eastAsia="Arial" w:hAnsi="Arial" w:cs="Arial"/>
                <w:sz w:val="20"/>
                <w:szCs w:val="20"/>
              </w:rPr>
              <w:t>Receptionists and Information Clerks</w:t>
            </w:r>
          </w:p>
        </w:tc>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60" w:type="dxa"/>
              <w:bottom w:w="60" w:type="dxa"/>
              <w:right w:w="160" w:type="dxa"/>
            </w:tcMar>
          </w:tcPr>
          <w:p w14:paraId="2CC57C9A" w14:textId="77777777" w:rsidR="00396D00" w:rsidRDefault="00396D00" w:rsidP="006C151B">
            <w:pPr>
              <w:jc w:val="right"/>
            </w:pPr>
            <w:r>
              <w:rPr>
                <w:rFonts w:ascii="Arial" w:eastAsia="Arial" w:hAnsi="Arial" w:cs="Arial"/>
                <w:sz w:val="20"/>
                <w:szCs w:val="20"/>
              </w:rPr>
              <w:t>9,559</w:t>
            </w:r>
          </w:p>
        </w:tc>
        <w:tc>
          <w:tcPr>
            <w:tcW w:w="23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60" w:type="dxa"/>
              <w:bottom w:w="60" w:type="dxa"/>
              <w:right w:w="160" w:type="dxa"/>
            </w:tcMar>
          </w:tcPr>
          <w:p w14:paraId="2F49DE83" w14:textId="77777777" w:rsidR="00396D00" w:rsidRDefault="00396D00" w:rsidP="006C151B">
            <w:pPr>
              <w:jc w:val="right"/>
            </w:pPr>
            <w:r>
              <w:rPr>
                <w:rFonts w:ascii="Arial" w:eastAsia="Arial" w:hAnsi="Arial" w:cs="Arial"/>
                <w:sz w:val="20"/>
                <w:szCs w:val="20"/>
              </w:rPr>
              <w:t>0.65</w:t>
            </w:r>
          </w:p>
        </w:tc>
      </w:tr>
      <w:tr w:rsidR="00396D00" w14:paraId="567EAE24" w14:textId="77777777" w:rsidTr="006C151B">
        <w:tc>
          <w:tcPr>
            <w:tcW w:w="44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60" w:type="dxa"/>
              <w:bottom w:w="60" w:type="dxa"/>
              <w:right w:w="160" w:type="dxa"/>
            </w:tcMar>
          </w:tcPr>
          <w:p w14:paraId="122B807E" w14:textId="77777777" w:rsidR="00396D00" w:rsidRDefault="00396D00" w:rsidP="006C151B">
            <w:r>
              <w:rPr>
                <w:rFonts w:ascii="Arial" w:eastAsia="Arial" w:hAnsi="Arial" w:cs="Arial"/>
                <w:sz w:val="20"/>
                <w:szCs w:val="20"/>
              </w:rPr>
              <w:t>Waiters and Waitresses</w:t>
            </w:r>
          </w:p>
        </w:tc>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60" w:type="dxa"/>
              <w:bottom w:w="60" w:type="dxa"/>
              <w:right w:w="160" w:type="dxa"/>
            </w:tcMar>
          </w:tcPr>
          <w:p w14:paraId="29ED1AB8" w14:textId="77777777" w:rsidR="00396D00" w:rsidRDefault="00396D00" w:rsidP="006C151B">
            <w:pPr>
              <w:jc w:val="right"/>
            </w:pPr>
            <w:r>
              <w:rPr>
                <w:rFonts w:ascii="Arial" w:eastAsia="Arial" w:hAnsi="Arial" w:cs="Arial"/>
                <w:sz w:val="20"/>
                <w:szCs w:val="20"/>
              </w:rPr>
              <w:t>12,115</w:t>
            </w:r>
          </w:p>
        </w:tc>
        <w:tc>
          <w:tcPr>
            <w:tcW w:w="23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60" w:type="dxa"/>
              <w:bottom w:w="60" w:type="dxa"/>
              <w:right w:w="160" w:type="dxa"/>
            </w:tcMar>
          </w:tcPr>
          <w:p w14:paraId="0826E07C" w14:textId="77777777" w:rsidR="00396D00" w:rsidRDefault="00396D00" w:rsidP="006C151B">
            <w:pPr>
              <w:jc w:val="right"/>
            </w:pPr>
            <w:r>
              <w:rPr>
                <w:rFonts w:ascii="Arial" w:eastAsia="Arial" w:hAnsi="Arial" w:cs="Arial"/>
                <w:sz w:val="20"/>
                <w:szCs w:val="20"/>
              </w:rPr>
              <w:t>0.65</w:t>
            </w:r>
          </w:p>
        </w:tc>
      </w:tr>
      <w:tr w:rsidR="00396D00" w14:paraId="0868E6C6" w14:textId="77777777" w:rsidTr="006C151B">
        <w:tc>
          <w:tcPr>
            <w:tcW w:w="4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60" w:type="dxa"/>
              <w:bottom w:w="60" w:type="dxa"/>
              <w:right w:w="160" w:type="dxa"/>
            </w:tcMar>
          </w:tcPr>
          <w:p w14:paraId="54EB84A7" w14:textId="77777777" w:rsidR="00396D00" w:rsidRDefault="00396D00" w:rsidP="006C151B">
            <w:r>
              <w:rPr>
                <w:rFonts w:ascii="Arial" w:eastAsia="Arial" w:hAnsi="Arial" w:cs="Arial"/>
                <w:sz w:val="20"/>
                <w:szCs w:val="20"/>
              </w:rPr>
              <w:t>Cashiers</w:t>
            </w:r>
          </w:p>
        </w:tc>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60" w:type="dxa"/>
              <w:bottom w:w="60" w:type="dxa"/>
              <w:right w:w="160" w:type="dxa"/>
            </w:tcMar>
          </w:tcPr>
          <w:p w14:paraId="6A4CD1E2" w14:textId="77777777" w:rsidR="00396D00" w:rsidRDefault="00396D00" w:rsidP="006C151B">
            <w:pPr>
              <w:jc w:val="right"/>
            </w:pPr>
            <w:r>
              <w:rPr>
                <w:rFonts w:ascii="Arial" w:eastAsia="Arial" w:hAnsi="Arial" w:cs="Arial"/>
                <w:sz w:val="20"/>
                <w:szCs w:val="20"/>
              </w:rPr>
              <w:t>9,166</w:t>
            </w:r>
          </w:p>
        </w:tc>
        <w:tc>
          <w:tcPr>
            <w:tcW w:w="23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60" w:type="dxa"/>
              <w:bottom w:w="60" w:type="dxa"/>
              <w:right w:w="160" w:type="dxa"/>
            </w:tcMar>
          </w:tcPr>
          <w:p w14:paraId="201CB56D" w14:textId="77777777" w:rsidR="00396D00" w:rsidRDefault="00396D00" w:rsidP="006C151B">
            <w:pPr>
              <w:jc w:val="right"/>
            </w:pPr>
            <w:r>
              <w:rPr>
                <w:rFonts w:ascii="Arial" w:eastAsia="Arial" w:hAnsi="Arial" w:cs="Arial"/>
                <w:sz w:val="20"/>
                <w:szCs w:val="20"/>
              </w:rPr>
              <w:t>0.64</w:t>
            </w:r>
          </w:p>
        </w:tc>
      </w:tr>
      <w:tr w:rsidR="00396D00" w14:paraId="25B1239D" w14:textId="77777777" w:rsidTr="006C151B">
        <w:tc>
          <w:tcPr>
            <w:tcW w:w="44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60" w:type="dxa"/>
              <w:bottom w:w="60" w:type="dxa"/>
              <w:right w:w="160" w:type="dxa"/>
            </w:tcMar>
          </w:tcPr>
          <w:p w14:paraId="3B69FB0B" w14:textId="77777777" w:rsidR="00396D00" w:rsidRDefault="00396D00" w:rsidP="006C151B">
            <w:r>
              <w:rPr>
                <w:rFonts w:ascii="Arial" w:eastAsia="Arial" w:hAnsi="Arial" w:cs="Arial"/>
                <w:sz w:val="20"/>
                <w:szCs w:val="20"/>
              </w:rPr>
              <w:t>Retail Salespersons</w:t>
            </w:r>
          </w:p>
        </w:tc>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60" w:type="dxa"/>
              <w:bottom w:w="60" w:type="dxa"/>
              <w:right w:w="160" w:type="dxa"/>
            </w:tcMar>
          </w:tcPr>
          <w:p w14:paraId="6BD0A8EA" w14:textId="77777777" w:rsidR="00396D00" w:rsidRDefault="00396D00" w:rsidP="006C151B">
            <w:pPr>
              <w:jc w:val="right"/>
            </w:pPr>
            <w:r>
              <w:rPr>
                <w:rFonts w:ascii="Arial" w:eastAsia="Arial" w:hAnsi="Arial" w:cs="Arial"/>
                <w:sz w:val="20"/>
                <w:szCs w:val="20"/>
              </w:rPr>
              <w:t>10,540</w:t>
            </w:r>
          </w:p>
        </w:tc>
        <w:tc>
          <w:tcPr>
            <w:tcW w:w="23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60" w:type="dxa"/>
              <w:bottom w:w="60" w:type="dxa"/>
              <w:right w:w="160" w:type="dxa"/>
            </w:tcMar>
          </w:tcPr>
          <w:p w14:paraId="3EED03A2" w14:textId="77777777" w:rsidR="00396D00" w:rsidRDefault="00396D00" w:rsidP="006C151B">
            <w:pPr>
              <w:jc w:val="right"/>
            </w:pPr>
            <w:r>
              <w:rPr>
                <w:rFonts w:ascii="Arial" w:eastAsia="Arial" w:hAnsi="Arial" w:cs="Arial"/>
                <w:sz w:val="20"/>
                <w:szCs w:val="20"/>
              </w:rPr>
              <w:t>0.63</w:t>
            </w:r>
          </w:p>
        </w:tc>
      </w:tr>
      <w:tr w:rsidR="00396D00" w14:paraId="29A98650" w14:textId="77777777" w:rsidTr="006C151B">
        <w:tc>
          <w:tcPr>
            <w:tcW w:w="4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60" w:type="dxa"/>
              <w:bottom w:w="60" w:type="dxa"/>
              <w:right w:w="160" w:type="dxa"/>
            </w:tcMar>
          </w:tcPr>
          <w:p w14:paraId="17AFF5A2" w14:textId="77777777" w:rsidR="00396D00" w:rsidRDefault="00396D00" w:rsidP="006C151B">
            <w:r>
              <w:rPr>
                <w:rFonts w:ascii="Arial" w:eastAsia="Arial" w:hAnsi="Arial" w:cs="Arial"/>
                <w:sz w:val="20"/>
                <w:szCs w:val="20"/>
              </w:rPr>
              <w:t>Driver/Sales Workers and Truck Drivers</w:t>
            </w:r>
          </w:p>
        </w:tc>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60" w:type="dxa"/>
              <w:bottom w:w="60" w:type="dxa"/>
              <w:right w:w="160" w:type="dxa"/>
            </w:tcMar>
          </w:tcPr>
          <w:p w14:paraId="546F1926" w14:textId="77777777" w:rsidR="00396D00" w:rsidRDefault="00396D00" w:rsidP="006C151B">
            <w:pPr>
              <w:jc w:val="right"/>
            </w:pPr>
            <w:r>
              <w:rPr>
                <w:rFonts w:ascii="Arial" w:eastAsia="Arial" w:hAnsi="Arial" w:cs="Arial"/>
                <w:sz w:val="20"/>
                <w:szCs w:val="20"/>
              </w:rPr>
              <w:t>15,699</w:t>
            </w:r>
          </w:p>
        </w:tc>
        <w:tc>
          <w:tcPr>
            <w:tcW w:w="23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60" w:type="dxa"/>
              <w:bottom w:w="60" w:type="dxa"/>
              <w:right w:w="160" w:type="dxa"/>
            </w:tcMar>
          </w:tcPr>
          <w:p w14:paraId="4524A3B7" w14:textId="77777777" w:rsidR="00396D00" w:rsidRDefault="00396D00" w:rsidP="006C151B">
            <w:pPr>
              <w:jc w:val="right"/>
            </w:pPr>
            <w:r>
              <w:rPr>
                <w:rFonts w:ascii="Arial" w:eastAsia="Arial" w:hAnsi="Arial" w:cs="Arial"/>
                <w:sz w:val="20"/>
                <w:szCs w:val="20"/>
              </w:rPr>
              <w:t>0.63</w:t>
            </w:r>
          </w:p>
        </w:tc>
      </w:tr>
      <w:tr w:rsidR="00396D00" w14:paraId="73C490EB" w14:textId="77777777" w:rsidTr="006C151B">
        <w:tc>
          <w:tcPr>
            <w:tcW w:w="44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60" w:type="dxa"/>
              <w:bottom w:w="60" w:type="dxa"/>
              <w:right w:w="160" w:type="dxa"/>
            </w:tcMar>
          </w:tcPr>
          <w:p w14:paraId="679274F1" w14:textId="77777777" w:rsidR="00396D00" w:rsidRDefault="00396D00" w:rsidP="006C151B">
            <w:r>
              <w:rPr>
                <w:rFonts w:ascii="Arial" w:eastAsia="Arial" w:hAnsi="Arial" w:cs="Arial"/>
                <w:sz w:val="20"/>
                <w:szCs w:val="20"/>
              </w:rPr>
              <w:t>Secretaries and Administrative Assistants</w:t>
            </w:r>
          </w:p>
        </w:tc>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60" w:type="dxa"/>
              <w:bottom w:w="60" w:type="dxa"/>
              <w:right w:w="160" w:type="dxa"/>
            </w:tcMar>
          </w:tcPr>
          <w:p w14:paraId="789D1F22" w14:textId="77777777" w:rsidR="00396D00" w:rsidRDefault="00396D00" w:rsidP="006C151B">
            <w:pPr>
              <w:jc w:val="right"/>
            </w:pPr>
            <w:r>
              <w:rPr>
                <w:rFonts w:ascii="Arial" w:eastAsia="Arial" w:hAnsi="Arial" w:cs="Arial"/>
                <w:sz w:val="20"/>
                <w:szCs w:val="20"/>
              </w:rPr>
              <w:t>13,722</w:t>
            </w:r>
          </w:p>
        </w:tc>
        <w:tc>
          <w:tcPr>
            <w:tcW w:w="23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60" w:type="dxa"/>
              <w:bottom w:w="60" w:type="dxa"/>
              <w:right w:w="160" w:type="dxa"/>
            </w:tcMar>
          </w:tcPr>
          <w:p w14:paraId="3EC05689" w14:textId="77777777" w:rsidR="00396D00" w:rsidRDefault="00396D00" w:rsidP="006C151B">
            <w:pPr>
              <w:jc w:val="right"/>
            </w:pPr>
            <w:r>
              <w:rPr>
                <w:rFonts w:ascii="Arial" w:eastAsia="Arial" w:hAnsi="Arial" w:cs="Arial"/>
                <w:sz w:val="20"/>
                <w:szCs w:val="20"/>
              </w:rPr>
              <w:t>0.63</w:t>
            </w:r>
          </w:p>
        </w:tc>
      </w:tr>
      <w:tr w:rsidR="00396D00" w14:paraId="6AFA5083" w14:textId="77777777" w:rsidTr="006C151B">
        <w:tc>
          <w:tcPr>
            <w:tcW w:w="4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60" w:type="dxa"/>
              <w:bottom w:w="60" w:type="dxa"/>
              <w:right w:w="160" w:type="dxa"/>
            </w:tcMar>
          </w:tcPr>
          <w:p w14:paraId="56F88EB1" w14:textId="77777777" w:rsidR="00396D00" w:rsidRDefault="00396D00" w:rsidP="006C151B">
            <w:r>
              <w:rPr>
                <w:rFonts w:ascii="Arial" w:eastAsia="Arial" w:hAnsi="Arial" w:cs="Arial"/>
                <w:sz w:val="20"/>
                <w:szCs w:val="20"/>
              </w:rPr>
              <w:lastRenderedPageBreak/>
              <w:t>Stockers and Order Fillers</w:t>
            </w:r>
          </w:p>
        </w:tc>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60" w:type="dxa"/>
              <w:bottom w:w="60" w:type="dxa"/>
              <w:right w:w="160" w:type="dxa"/>
            </w:tcMar>
          </w:tcPr>
          <w:p w14:paraId="1886F7F1" w14:textId="77777777" w:rsidR="00396D00" w:rsidRDefault="00396D00" w:rsidP="006C151B">
            <w:pPr>
              <w:jc w:val="right"/>
            </w:pPr>
            <w:r>
              <w:rPr>
                <w:rFonts w:ascii="Arial" w:eastAsia="Arial" w:hAnsi="Arial" w:cs="Arial"/>
                <w:sz w:val="20"/>
                <w:szCs w:val="20"/>
              </w:rPr>
              <w:t>9,865</w:t>
            </w:r>
          </w:p>
        </w:tc>
        <w:tc>
          <w:tcPr>
            <w:tcW w:w="23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60" w:type="dxa"/>
              <w:bottom w:w="60" w:type="dxa"/>
              <w:right w:w="160" w:type="dxa"/>
            </w:tcMar>
          </w:tcPr>
          <w:p w14:paraId="0CE291A6" w14:textId="77777777" w:rsidR="00396D00" w:rsidRDefault="00396D00" w:rsidP="006C151B">
            <w:pPr>
              <w:jc w:val="right"/>
            </w:pPr>
            <w:r>
              <w:rPr>
                <w:rFonts w:ascii="Arial" w:eastAsia="Arial" w:hAnsi="Arial" w:cs="Arial"/>
                <w:sz w:val="20"/>
                <w:szCs w:val="20"/>
              </w:rPr>
              <w:t>0.62</w:t>
            </w:r>
          </w:p>
        </w:tc>
      </w:tr>
      <w:tr w:rsidR="00396D00" w14:paraId="53A45578" w14:textId="77777777" w:rsidTr="006C151B">
        <w:tc>
          <w:tcPr>
            <w:tcW w:w="44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60" w:type="dxa"/>
              <w:bottom w:w="60" w:type="dxa"/>
              <w:right w:w="160" w:type="dxa"/>
            </w:tcMar>
          </w:tcPr>
          <w:p w14:paraId="1FEFAF2C" w14:textId="77777777" w:rsidR="00396D00" w:rsidRDefault="00396D00" w:rsidP="006C151B">
            <w:r>
              <w:rPr>
                <w:rFonts w:ascii="Arial" w:eastAsia="Arial" w:hAnsi="Arial" w:cs="Arial"/>
                <w:sz w:val="20"/>
                <w:szCs w:val="20"/>
              </w:rPr>
              <w:t>First-Line Supervisors of Retail Sales</w:t>
            </w:r>
          </w:p>
        </w:tc>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60" w:type="dxa"/>
              <w:bottom w:w="60" w:type="dxa"/>
              <w:right w:w="160" w:type="dxa"/>
            </w:tcMar>
          </w:tcPr>
          <w:p w14:paraId="491FEEF2" w14:textId="77777777" w:rsidR="00396D00" w:rsidRDefault="00396D00" w:rsidP="006C151B">
            <w:pPr>
              <w:jc w:val="right"/>
            </w:pPr>
            <w:r>
              <w:rPr>
                <w:rFonts w:ascii="Arial" w:eastAsia="Arial" w:hAnsi="Arial" w:cs="Arial"/>
                <w:sz w:val="20"/>
                <w:szCs w:val="20"/>
              </w:rPr>
              <w:t>11,548</w:t>
            </w:r>
          </w:p>
        </w:tc>
        <w:tc>
          <w:tcPr>
            <w:tcW w:w="2360" w:type="dxa"/>
            <w:tcBorders>
              <w:top w:val="single" w:sz="4" w:space="0" w:color="AAAAAA"/>
              <w:left w:val="single" w:sz="4" w:space="0" w:color="AAAAAA"/>
              <w:bottom w:val="single" w:sz="4" w:space="0" w:color="AAAAAA"/>
              <w:right w:val="single" w:sz="4" w:space="0" w:color="AAAAAA"/>
            </w:tcBorders>
            <w:shd w:val="clear" w:color="auto" w:fill="F2F2F2"/>
            <w:tcMar>
              <w:top w:w="60" w:type="dxa"/>
              <w:left w:w="160" w:type="dxa"/>
              <w:bottom w:w="60" w:type="dxa"/>
              <w:right w:w="160" w:type="dxa"/>
            </w:tcMar>
          </w:tcPr>
          <w:p w14:paraId="691E8A16" w14:textId="77777777" w:rsidR="00396D00" w:rsidRDefault="00396D00" w:rsidP="006C151B">
            <w:pPr>
              <w:jc w:val="right"/>
            </w:pPr>
            <w:r>
              <w:rPr>
                <w:rFonts w:ascii="Arial" w:eastAsia="Arial" w:hAnsi="Arial" w:cs="Arial"/>
                <w:sz w:val="20"/>
                <w:szCs w:val="20"/>
              </w:rPr>
              <w:t>0.58</w:t>
            </w:r>
          </w:p>
        </w:tc>
      </w:tr>
    </w:tbl>
    <w:p w14:paraId="33D40092" w14:textId="77777777" w:rsidR="00396D00" w:rsidRPr="00565144" w:rsidRDefault="00396D00" w:rsidP="00565144"/>
    <w:p w14:paraId="54A9F27F" w14:textId="77777777" w:rsidR="00565144" w:rsidRDefault="00565144" w:rsidP="00565144">
      <w:r>
        <w:t>At the other end of the scale, the most AI-resilient large occupations are almost all in healthcare. Registered Nurses — Tennessee's single largest professional occupation, with over 74,000 workers — score 0.45 on automation and 0.60 on augmentation, meaning they are more likely to benefit from AI-assisted diagnostics and documentation than to be displaced by them. Nurse Practitioners, Pharmacists, Physicians, and Physical Therapists all sit in the lower portion of the automation range. Lawyers (0.49) are among the more resilient non-healthcare occupations of significant scale.</w:t>
      </w:r>
    </w:p>
    <w:p w14:paraId="411EAA13" w14:textId="77777777" w:rsidR="00564E3D" w:rsidRPr="00565144" w:rsidRDefault="00564E3D" w:rsidP="00565144"/>
    <w:p w14:paraId="16C8C2D6" w14:textId="77777777" w:rsidR="00565144" w:rsidRPr="00565144" w:rsidRDefault="00565144" w:rsidP="00564E3D">
      <w:pPr>
        <w:pStyle w:val="Heading4"/>
      </w:pPr>
      <w:r>
        <w:t>Sectors: who is most and least exposed</w:t>
      </w:r>
    </w:p>
    <w:p w14:paraId="2EE75745" w14:textId="77777777" w:rsidR="00565144" w:rsidRPr="00565144" w:rsidRDefault="00565144" w:rsidP="00565144">
      <w:r>
        <w:t>At the sector level, transportation and warehousing has by far the highest share of workers in top-quartile high-exposure occupations of any large sector — 76% — with an average automation-exposure score of 0.60. This is a notable finding for a state that has invested heavily in logistics infrastructure — Memphis's position as a major distribution hub, and the growth of warehousing and last-mile delivery across the state, has built a large workforce in occupations where automation is advancing most directly through robotics, route optimization, and inventory management AI. Construction (0.61 average, 42% high-exposure), wholesale trade (0.60 / 59%), retail trade (0.60 / 44%), and administrative and support services (0.58 / 37%) round out the most exposed sectors.</w:t>
      </w:r>
    </w:p>
    <w:p w14:paraId="5C2FDA60" w14:textId="0244D9A2" w:rsidR="00204AA6" w:rsidRDefault="00565144" w:rsidP="00565144">
      <w:r>
        <w:t>Healthcare and social assistance, at 0.52 average with only 14% of workers in top-quartile high-exposure occupations, is by some margin the most AI-resilient large sector in the state — reinforcing the structural argument for investing in healthcare career ladders. Public administration (0.57) and other services (0.56) also sit toward the lower end of the exposure range, both benefiting from roles where human judgment, accountability, and physical interaction remain central to the work.</w:t>
      </w:r>
    </w:p>
    <w:p w14:paraId="3EDCCEBF" w14:textId="77777777" w:rsidR="00564E3D" w:rsidRDefault="00564E3D" w:rsidP="00565144"/>
    <w:p w14:paraId="3422A3A3" w14:textId="2FEC7C1B" w:rsidR="00564E3D" w:rsidRDefault="00564E3D" w:rsidP="00565144">
      <w:r w:rsidRPr="00A55063">
        <w:rPr>
          <w:b/>
          <w:bCs/>
        </w:rPr>
        <w:t>Figure X. Automation exposure and workers by sector in Tennessee</w:t>
      </w:r>
    </w:p>
    <w:tbl>
      <w:tblPr>
        <w:tblW w:w="8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28"/>
        <w:gridCol w:w="1895"/>
        <w:gridCol w:w="1941"/>
        <w:gridCol w:w="1154"/>
      </w:tblGrid>
      <w:tr w:rsidR="0052709C" w14:paraId="62BBBD19" w14:textId="77777777" w:rsidTr="00D320B1">
        <w:trPr>
          <w:trHeight w:val="899"/>
          <w:tblHeader/>
        </w:trPr>
        <w:tc>
          <w:tcPr>
            <w:tcW w:w="3928" w:type="dxa"/>
            <w:tcBorders>
              <w:top w:val="single" w:sz="4" w:space="0" w:color="BBBBBB"/>
              <w:left w:val="single" w:sz="4" w:space="0" w:color="BBBBBB"/>
              <w:bottom w:val="single" w:sz="4" w:space="0" w:color="BBBBBB"/>
              <w:right w:val="single" w:sz="4" w:space="0" w:color="BBBBBB"/>
            </w:tcBorders>
            <w:shd w:val="clear" w:color="auto" w:fill="1F4E79"/>
            <w:tcMar>
              <w:top w:w="80" w:type="dxa"/>
              <w:left w:w="140" w:type="dxa"/>
              <w:bottom w:w="80" w:type="dxa"/>
              <w:right w:w="140" w:type="dxa"/>
            </w:tcMar>
          </w:tcPr>
          <w:p w14:paraId="2E8D7FF1" w14:textId="77777777" w:rsidR="00D320B1" w:rsidRDefault="00D320B1" w:rsidP="006C151B">
            <w:r>
              <w:rPr>
                <w:rFonts w:ascii="Arial" w:eastAsia="Arial" w:hAnsi="Arial" w:cs="Arial"/>
                <w:b/>
                <w:bCs/>
                <w:color w:val="FFFFFF"/>
                <w:sz w:val="18"/>
                <w:szCs w:val="18"/>
              </w:rPr>
              <w:t>Sector</w:t>
            </w:r>
          </w:p>
        </w:tc>
        <w:tc>
          <w:tcPr>
            <w:tcW w:w="1895" w:type="dxa"/>
            <w:tcBorders>
              <w:top w:val="single" w:sz="4" w:space="0" w:color="BBBBBB"/>
              <w:left w:val="single" w:sz="4" w:space="0" w:color="BBBBBB"/>
              <w:bottom w:val="single" w:sz="4" w:space="0" w:color="BBBBBB"/>
              <w:right w:val="single" w:sz="4" w:space="0" w:color="BBBBBB"/>
            </w:tcBorders>
            <w:shd w:val="clear" w:color="auto" w:fill="1F4E79"/>
            <w:tcMar>
              <w:top w:w="80" w:type="dxa"/>
              <w:left w:w="140" w:type="dxa"/>
              <w:bottom w:w="80" w:type="dxa"/>
              <w:right w:w="140" w:type="dxa"/>
            </w:tcMar>
          </w:tcPr>
          <w:p w14:paraId="05721D64" w14:textId="77777777" w:rsidR="00D320B1" w:rsidRDefault="00D320B1" w:rsidP="006C151B">
            <w:pPr>
              <w:jc w:val="center"/>
            </w:pPr>
            <w:r>
              <w:rPr>
                <w:rFonts w:ascii="Arial" w:eastAsia="Arial" w:hAnsi="Arial" w:cs="Arial"/>
                <w:b/>
                <w:bCs/>
                <w:color w:val="FFFFFF"/>
                <w:sz w:val="18"/>
                <w:szCs w:val="18"/>
              </w:rPr>
              <w:t>Avg. Automation Exposure</w:t>
            </w:r>
          </w:p>
        </w:tc>
        <w:tc>
          <w:tcPr>
            <w:tcW w:w="1941" w:type="dxa"/>
            <w:tcBorders>
              <w:top w:val="single" w:sz="4" w:space="0" w:color="BBBBBB"/>
              <w:left w:val="single" w:sz="4" w:space="0" w:color="BBBBBB"/>
              <w:bottom w:val="single" w:sz="4" w:space="0" w:color="BBBBBB"/>
              <w:right w:val="single" w:sz="4" w:space="0" w:color="BBBBBB"/>
            </w:tcBorders>
            <w:shd w:val="clear" w:color="auto" w:fill="1F4E79"/>
            <w:tcMar>
              <w:top w:w="80" w:type="dxa"/>
              <w:left w:w="140" w:type="dxa"/>
              <w:bottom w:w="80" w:type="dxa"/>
              <w:right w:w="140" w:type="dxa"/>
            </w:tcMar>
          </w:tcPr>
          <w:p w14:paraId="3983A504" w14:textId="77777777" w:rsidR="00D320B1" w:rsidRDefault="00D320B1" w:rsidP="006C151B">
            <w:pPr>
              <w:jc w:val="center"/>
            </w:pPr>
            <w:r>
              <w:rPr>
                <w:rFonts w:ascii="Arial" w:eastAsia="Arial" w:hAnsi="Arial" w:cs="Arial"/>
                <w:b/>
                <w:bCs/>
                <w:color w:val="FFFFFF"/>
                <w:sz w:val="18"/>
                <w:szCs w:val="18"/>
              </w:rPr>
              <w:t>% Workers in High-Risk Roles</w:t>
            </w:r>
          </w:p>
        </w:tc>
        <w:tc>
          <w:tcPr>
            <w:tcW w:w="1154" w:type="dxa"/>
            <w:tcBorders>
              <w:top w:val="single" w:sz="4" w:space="0" w:color="BBBBBB"/>
              <w:left w:val="single" w:sz="4" w:space="0" w:color="BBBBBB"/>
              <w:bottom w:val="single" w:sz="4" w:space="0" w:color="BBBBBB"/>
              <w:right w:val="single" w:sz="4" w:space="0" w:color="BBBBBB"/>
            </w:tcBorders>
            <w:shd w:val="clear" w:color="auto" w:fill="1F4E79"/>
            <w:tcMar>
              <w:top w:w="80" w:type="dxa"/>
              <w:left w:w="140" w:type="dxa"/>
              <w:bottom w:w="80" w:type="dxa"/>
              <w:right w:w="140" w:type="dxa"/>
            </w:tcMar>
          </w:tcPr>
          <w:p w14:paraId="0A5E67AB" w14:textId="77777777" w:rsidR="00D320B1" w:rsidRDefault="00D320B1" w:rsidP="006C151B">
            <w:pPr>
              <w:jc w:val="center"/>
            </w:pPr>
            <w:r>
              <w:rPr>
                <w:rFonts w:ascii="Arial" w:eastAsia="Arial" w:hAnsi="Arial" w:cs="Arial"/>
                <w:b/>
                <w:bCs/>
                <w:color w:val="FFFFFF"/>
                <w:sz w:val="18"/>
                <w:szCs w:val="18"/>
              </w:rPr>
              <w:t>TN Workers</w:t>
            </w:r>
          </w:p>
        </w:tc>
      </w:tr>
      <w:tr w:rsidR="0052709C" w14:paraId="2EE5D1F8" w14:textId="77777777" w:rsidTr="00D320B1">
        <w:trPr>
          <w:trHeight w:val="405"/>
        </w:trPr>
        <w:tc>
          <w:tcPr>
            <w:tcW w:w="3928" w:type="dxa"/>
            <w:tcBorders>
              <w:top w:val="single" w:sz="4" w:space="0" w:color="BBBBBB"/>
              <w:left w:val="single" w:sz="4" w:space="0" w:color="BBBBBB"/>
              <w:bottom w:val="single" w:sz="4" w:space="0" w:color="BBBBBB"/>
              <w:right w:val="single" w:sz="4" w:space="0" w:color="BBBBBB"/>
            </w:tcBorders>
            <w:shd w:val="clear" w:color="auto" w:fill="FFFFFF"/>
            <w:tcMar>
              <w:top w:w="60" w:type="dxa"/>
              <w:left w:w="140" w:type="dxa"/>
              <w:bottom w:w="60" w:type="dxa"/>
              <w:right w:w="140" w:type="dxa"/>
            </w:tcMar>
          </w:tcPr>
          <w:p w14:paraId="575247D7" w14:textId="77777777" w:rsidR="00D320B1" w:rsidRDefault="00D320B1" w:rsidP="006C151B">
            <w:r>
              <w:rPr>
                <w:rFonts w:ascii="Arial" w:eastAsia="Arial" w:hAnsi="Arial" w:cs="Arial"/>
                <w:sz w:val="19"/>
                <w:szCs w:val="19"/>
              </w:rPr>
              <w:t>Construction</w:t>
            </w:r>
          </w:p>
        </w:tc>
        <w:tc>
          <w:tcPr>
            <w:tcW w:w="1895" w:type="dxa"/>
            <w:tcBorders>
              <w:top w:val="single" w:sz="4" w:space="0" w:color="BBBBBB"/>
              <w:left w:val="single" w:sz="4" w:space="0" w:color="BBBBBB"/>
              <w:bottom w:val="single" w:sz="4" w:space="0" w:color="BBBBBB"/>
              <w:right w:val="single" w:sz="4" w:space="0" w:color="BBBBBB"/>
            </w:tcBorders>
            <w:shd w:val="clear" w:color="auto" w:fill="FFFFFF"/>
            <w:tcMar>
              <w:top w:w="60" w:type="dxa"/>
              <w:left w:w="140" w:type="dxa"/>
              <w:bottom w:w="60" w:type="dxa"/>
              <w:right w:w="140" w:type="dxa"/>
            </w:tcMar>
          </w:tcPr>
          <w:p w14:paraId="0A9AE231" w14:textId="77777777" w:rsidR="00D320B1" w:rsidRDefault="00D320B1" w:rsidP="006C151B">
            <w:pPr>
              <w:jc w:val="center"/>
            </w:pPr>
            <w:r>
              <w:rPr>
                <w:rFonts w:ascii="Arial" w:eastAsia="Arial" w:hAnsi="Arial" w:cs="Arial"/>
                <w:sz w:val="19"/>
                <w:szCs w:val="19"/>
              </w:rPr>
              <w:t>0.61</w:t>
            </w:r>
          </w:p>
        </w:tc>
        <w:tc>
          <w:tcPr>
            <w:tcW w:w="1941" w:type="dxa"/>
            <w:tcBorders>
              <w:top w:val="single" w:sz="4" w:space="0" w:color="BBBBBB"/>
              <w:left w:val="single" w:sz="4" w:space="0" w:color="BBBBBB"/>
              <w:bottom w:val="single" w:sz="4" w:space="0" w:color="BBBBBB"/>
              <w:right w:val="single" w:sz="4" w:space="0" w:color="BBBBBB"/>
            </w:tcBorders>
            <w:shd w:val="clear" w:color="auto" w:fill="FFFFFF"/>
            <w:tcMar>
              <w:top w:w="60" w:type="dxa"/>
              <w:left w:w="140" w:type="dxa"/>
              <w:bottom w:w="60" w:type="dxa"/>
              <w:right w:w="140" w:type="dxa"/>
            </w:tcMar>
          </w:tcPr>
          <w:p w14:paraId="3859A53B" w14:textId="77777777" w:rsidR="00D320B1" w:rsidRDefault="00D320B1" w:rsidP="006C151B">
            <w:pPr>
              <w:jc w:val="right"/>
            </w:pPr>
            <w:r>
              <w:rPr>
                <w:rFonts w:ascii="Arial" w:eastAsia="Arial" w:hAnsi="Arial" w:cs="Arial"/>
                <w:sz w:val="19"/>
                <w:szCs w:val="19"/>
              </w:rPr>
              <w:t>41.8%</w:t>
            </w:r>
          </w:p>
        </w:tc>
        <w:tc>
          <w:tcPr>
            <w:tcW w:w="1154" w:type="dxa"/>
            <w:tcBorders>
              <w:top w:val="single" w:sz="4" w:space="0" w:color="BBBBBB"/>
              <w:left w:val="single" w:sz="4" w:space="0" w:color="BBBBBB"/>
              <w:bottom w:val="single" w:sz="4" w:space="0" w:color="BBBBBB"/>
              <w:right w:val="single" w:sz="4" w:space="0" w:color="BBBBBB"/>
            </w:tcBorders>
            <w:shd w:val="clear" w:color="auto" w:fill="FFFFFF"/>
            <w:tcMar>
              <w:top w:w="60" w:type="dxa"/>
              <w:left w:w="140" w:type="dxa"/>
              <w:bottom w:w="60" w:type="dxa"/>
              <w:right w:w="140" w:type="dxa"/>
            </w:tcMar>
          </w:tcPr>
          <w:p w14:paraId="62248A98" w14:textId="77777777" w:rsidR="00D320B1" w:rsidRDefault="00D320B1" w:rsidP="006C151B">
            <w:pPr>
              <w:jc w:val="right"/>
            </w:pPr>
            <w:r>
              <w:rPr>
                <w:rFonts w:ascii="Arial" w:eastAsia="Arial" w:hAnsi="Arial" w:cs="Arial"/>
                <w:sz w:val="19"/>
                <w:szCs w:val="19"/>
              </w:rPr>
              <w:t>99,863</w:t>
            </w:r>
          </w:p>
        </w:tc>
      </w:tr>
      <w:tr w:rsidR="0052709C" w14:paraId="66ABA372" w14:textId="77777777" w:rsidTr="00D320B1">
        <w:trPr>
          <w:trHeight w:val="418"/>
        </w:trPr>
        <w:tc>
          <w:tcPr>
            <w:tcW w:w="3928" w:type="dxa"/>
            <w:tcBorders>
              <w:top w:val="single" w:sz="4" w:space="0" w:color="BBBBBB"/>
              <w:left w:val="single" w:sz="4" w:space="0" w:color="BBBBBB"/>
              <w:bottom w:val="single" w:sz="4" w:space="0" w:color="BBBBBB"/>
              <w:right w:val="single" w:sz="4" w:space="0" w:color="BBBBBB"/>
            </w:tcBorders>
            <w:shd w:val="clear" w:color="auto" w:fill="F2F2F2"/>
            <w:tcMar>
              <w:top w:w="60" w:type="dxa"/>
              <w:left w:w="140" w:type="dxa"/>
              <w:bottom w:w="60" w:type="dxa"/>
              <w:right w:w="140" w:type="dxa"/>
            </w:tcMar>
          </w:tcPr>
          <w:p w14:paraId="41B4EE63" w14:textId="77777777" w:rsidR="00D320B1" w:rsidRDefault="00D320B1" w:rsidP="006C151B">
            <w:r>
              <w:rPr>
                <w:rFonts w:ascii="Arial" w:eastAsia="Arial" w:hAnsi="Arial" w:cs="Arial"/>
                <w:sz w:val="19"/>
                <w:szCs w:val="19"/>
              </w:rPr>
              <w:lastRenderedPageBreak/>
              <w:t>Transportation &amp; Warehousing</w:t>
            </w:r>
          </w:p>
        </w:tc>
        <w:tc>
          <w:tcPr>
            <w:tcW w:w="1895" w:type="dxa"/>
            <w:tcBorders>
              <w:top w:val="single" w:sz="4" w:space="0" w:color="BBBBBB"/>
              <w:left w:val="single" w:sz="4" w:space="0" w:color="BBBBBB"/>
              <w:bottom w:val="single" w:sz="4" w:space="0" w:color="BBBBBB"/>
              <w:right w:val="single" w:sz="4" w:space="0" w:color="BBBBBB"/>
            </w:tcBorders>
            <w:shd w:val="clear" w:color="auto" w:fill="F2F2F2"/>
            <w:tcMar>
              <w:top w:w="60" w:type="dxa"/>
              <w:left w:w="140" w:type="dxa"/>
              <w:bottom w:w="60" w:type="dxa"/>
              <w:right w:w="140" w:type="dxa"/>
            </w:tcMar>
          </w:tcPr>
          <w:p w14:paraId="552A16E4" w14:textId="77777777" w:rsidR="00D320B1" w:rsidRDefault="00D320B1" w:rsidP="006C151B">
            <w:pPr>
              <w:jc w:val="center"/>
            </w:pPr>
            <w:r>
              <w:rPr>
                <w:rFonts w:ascii="Arial" w:eastAsia="Arial" w:hAnsi="Arial" w:cs="Arial"/>
                <w:sz w:val="19"/>
                <w:szCs w:val="19"/>
              </w:rPr>
              <w:t>0.60</w:t>
            </w:r>
          </w:p>
        </w:tc>
        <w:tc>
          <w:tcPr>
            <w:tcW w:w="1941" w:type="dxa"/>
            <w:tcBorders>
              <w:top w:val="single" w:sz="4" w:space="0" w:color="BBBBBB"/>
              <w:left w:val="single" w:sz="4" w:space="0" w:color="BBBBBB"/>
              <w:bottom w:val="single" w:sz="4" w:space="0" w:color="BBBBBB"/>
              <w:right w:val="single" w:sz="4" w:space="0" w:color="BBBBBB"/>
            </w:tcBorders>
            <w:shd w:val="clear" w:color="auto" w:fill="F2F2F2"/>
            <w:tcMar>
              <w:top w:w="60" w:type="dxa"/>
              <w:left w:w="140" w:type="dxa"/>
              <w:bottom w:w="60" w:type="dxa"/>
              <w:right w:w="140" w:type="dxa"/>
            </w:tcMar>
          </w:tcPr>
          <w:p w14:paraId="53CB0160" w14:textId="77777777" w:rsidR="00D320B1" w:rsidRDefault="00D320B1" w:rsidP="006C151B">
            <w:pPr>
              <w:jc w:val="right"/>
            </w:pPr>
            <w:r>
              <w:rPr>
                <w:rFonts w:ascii="Arial" w:eastAsia="Arial" w:hAnsi="Arial" w:cs="Arial"/>
                <w:sz w:val="19"/>
                <w:szCs w:val="19"/>
              </w:rPr>
              <w:t>76.4%</w:t>
            </w:r>
          </w:p>
        </w:tc>
        <w:tc>
          <w:tcPr>
            <w:tcW w:w="1154" w:type="dxa"/>
            <w:tcBorders>
              <w:top w:val="single" w:sz="4" w:space="0" w:color="BBBBBB"/>
              <w:left w:val="single" w:sz="4" w:space="0" w:color="BBBBBB"/>
              <w:bottom w:val="single" w:sz="4" w:space="0" w:color="BBBBBB"/>
              <w:right w:val="single" w:sz="4" w:space="0" w:color="BBBBBB"/>
            </w:tcBorders>
            <w:shd w:val="clear" w:color="auto" w:fill="F2F2F2"/>
            <w:tcMar>
              <w:top w:w="60" w:type="dxa"/>
              <w:left w:w="140" w:type="dxa"/>
              <w:bottom w:w="60" w:type="dxa"/>
              <w:right w:w="140" w:type="dxa"/>
            </w:tcMar>
          </w:tcPr>
          <w:p w14:paraId="2E009046" w14:textId="77777777" w:rsidR="00D320B1" w:rsidRDefault="00D320B1" w:rsidP="006C151B">
            <w:pPr>
              <w:jc w:val="right"/>
            </w:pPr>
            <w:r>
              <w:rPr>
                <w:rFonts w:ascii="Arial" w:eastAsia="Arial" w:hAnsi="Arial" w:cs="Arial"/>
                <w:sz w:val="19"/>
                <w:szCs w:val="19"/>
              </w:rPr>
              <w:t>122,376</w:t>
            </w:r>
          </w:p>
        </w:tc>
      </w:tr>
      <w:tr w:rsidR="0052709C" w14:paraId="0835261C" w14:textId="77777777" w:rsidTr="00D320B1">
        <w:trPr>
          <w:trHeight w:val="405"/>
        </w:trPr>
        <w:tc>
          <w:tcPr>
            <w:tcW w:w="3928" w:type="dxa"/>
            <w:tcBorders>
              <w:top w:val="single" w:sz="4" w:space="0" w:color="BBBBBB"/>
              <w:left w:val="single" w:sz="4" w:space="0" w:color="BBBBBB"/>
              <w:bottom w:val="single" w:sz="4" w:space="0" w:color="BBBBBB"/>
              <w:right w:val="single" w:sz="4" w:space="0" w:color="BBBBBB"/>
            </w:tcBorders>
            <w:shd w:val="clear" w:color="auto" w:fill="FFFFFF"/>
            <w:tcMar>
              <w:top w:w="60" w:type="dxa"/>
              <w:left w:w="140" w:type="dxa"/>
              <w:bottom w:w="60" w:type="dxa"/>
              <w:right w:w="140" w:type="dxa"/>
            </w:tcMar>
          </w:tcPr>
          <w:p w14:paraId="61AA3A55" w14:textId="77777777" w:rsidR="00D320B1" w:rsidRDefault="00D320B1" w:rsidP="006C151B">
            <w:r>
              <w:rPr>
                <w:rFonts w:ascii="Arial" w:eastAsia="Arial" w:hAnsi="Arial" w:cs="Arial"/>
                <w:sz w:val="19"/>
                <w:szCs w:val="19"/>
              </w:rPr>
              <w:t>Wholesale Trade</w:t>
            </w:r>
          </w:p>
        </w:tc>
        <w:tc>
          <w:tcPr>
            <w:tcW w:w="1895" w:type="dxa"/>
            <w:tcBorders>
              <w:top w:val="single" w:sz="4" w:space="0" w:color="BBBBBB"/>
              <w:left w:val="single" w:sz="4" w:space="0" w:color="BBBBBB"/>
              <w:bottom w:val="single" w:sz="4" w:space="0" w:color="BBBBBB"/>
              <w:right w:val="single" w:sz="4" w:space="0" w:color="BBBBBB"/>
            </w:tcBorders>
            <w:shd w:val="clear" w:color="auto" w:fill="FFFFFF"/>
            <w:tcMar>
              <w:top w:w="60" w:type="dxa"/>
              <w:left w:w="140" w:type="dxa"/>
              <w:bottom w:w="60" w:type="dxa"/>
              <w:right w:w="140" w:type="dxa"/>
            </w:tcMar>
          </w:tcPr>
          <w:p w14:paraId="5A8CBAA0" w14:textId="77777777" w:rsidR="00D320B1" w:rsidRDefault="00D320B1" w:rsidP="006C151B">
            <w:pPr>
              <w:jc w:val="center"/>
            </w:pPr>
            <w:r>
              <w:rPr>
                <w:rFonts w:ascii="Arial" w:eastAsia="Arial" w:hAnsi="Arial" w:cs="Arial"/>
                <w:sz w:val="19"/>
                <w:szCs w:val="19"/>
              </w:rPr>
              <w:t>0.60</w:t>
            </w:r>
          </w:p>
        </w:tc>
        <w:tc>
          <w:tcPr>
            <w:tcW w:w="1941" w:type="dxa"/>
            <w:tcBorders>
              <w:top w:val="single" w:sz="4" w:space="0" w:color="BBBBBB"/>
              <w:left w:val="single" w:sz="4" w:space="0" w:color="BBBBBB"/>
              <w:bottom w:val="single" w:sz="4" w:space="0" w:color="BBBBBB"/>
              <w:right w:val="single" w:sz="4" w:space="0" w:color="BBBBBB"/>
            </w:tcBorders>
            <w:shd w:val="clear" w:color="auto" w:fill="FFFFFF"/>
            <w:tcMar>
              <w:top w:w="60" w:type="dxa"/>
              <w:left w:w="140" w:type="dxa"/>
              <w:bottom w:w="60" w:type="dxa"/>
              <w:right w:w="140" w:type="dxa"/>
            </w:tcMar>
          </w:tcPr>
          <w:p w14:paraId="33D9B936" w14:textId="77777777" w:rsidR="00D320B1" w:rsidRDefault="00D320B1" w:rsidP="006C151B">
            <w:pPr>
              <w:jc w:val="right"/>
            </w:pPr>
            <w:r>
              <w:rPr>
                <w:rFonts w:ascii="Arial" w:eastAsia="Arial" w:hAnsi="Arial" w:cs="Arial"/>
                <w:sz w:val="19"/>
                <w:szCs w:val="19"/>
              </w:rPr>
              <w:t>58.5%</w:t>
            </w:r>
          </w:p>
        </w:tc>
        <w:tc>
          <w:tcPr>
            <w:tcW w:w="1154" w:type="dxa"/>
            <w:tcBorders>
              <w:top w:val="single" w:sz="4" w:space="0" w:color="BBBBBB"/>
              <w:left w:val="single" w:sz="4" w:space="0" w:color="BBBBBB"/>
              <w:bottom w:val="single" w:sz="4" w:space="0" w:color="BBBBBB"/>
              <w:right w:val="single" w:sz="4" w:space="0" w:color="BBBBBB"/>
            </w:tcBorders>
            <w:shd w:val="clear" w:color="auto" w:fill="FFFFFF"/>
            <w:tcMar>
              <w:top w:w="60" w:type="dxa"/>
              <w:left w:w="140" w:type="dxa"/>
              <w:bottom w:w="60" w:type="dxa"/>
              <w:right w:w="140" w:type="dxa"/>
            </w:tcMar>
          </w:tcPr>
          <w:p w14:paraId="42A327A8" w14:textId="77777777" w:rsidR="00D320B1" w:rsidRDefault="00D320B1" w:rsidP="006C151B">
            <w:pPr>
              <w:jc w:val="right"/>
            </w:pPr>
            <w:r>
              <w:rPr>
                <w:rFonts w:ascii="Arial" w:eastAsia="Arial" w:hAnsi="Arial" w:cs="Arial"/>
                <w:sz w:val="19"/>
                <w:szCs w:val="19"/>
              </w:rPr>
              <w:t>40,983</w:t>
            </w:r>
          </w:p>
        </w:tc>
      </w:tr>
      <w:tr w:rsidR="0052709C" w14:paraId="40F1A8AA" w14:textId="77777777" w:rsidTr="00D320B1">
        <w:trPr>
          <w:trHeight w:val="405"/>
        </w:trPr>
        <w:tc>
          <w:tcPr>
            <w:tcW w:w="3928" w:type="dxa"/>
            <w:tcBorders>
              <w:top w:val="single" w:sz="4" w:space="0" w:color="BBBBBB"/>
              <w:left w:val="single" w:sz="4" w:space="0" w:color="BBBBBB"/>
              <w:bottom w:val="single" w:sz="4" w:space="0" w:color="BBBBBB"/>
              <w:right w:val="single" w:sz="4" w:space="0" w:color="BBBBBB"/>
            </w:tcBorders>
            <w:shd w:val="clear" w:color="auto" w:fill="F2F2F2"/>
            <w:tcMar>
              <w:top w:w="60" w:type="dxa"/>
              <w:left w:w="140" w:type="dxa"/>
              <w:bottom w:w="60" w:type="dxa"/>
              <w:right w:w="140" w:type="dxa"/>
            </w:tcMar>
          </w:tcPr>
          <w:p w14:paraId="7A03BDFC" w14:textId="77777777" w:rsidR="00D320B1" w:rsidRDefault="00D320B1" w:rsidP="006C151B">
            <w:r>
              <w:rPr>
                <w:rFonts w:ascii="Arial" w:eastAsia="Arial" w:hAnsi="Arial" w:cs="Arial"/>
                <w:sz w:val="19"/>
                <w:szCs w:val="19"/>
              </w:rPr>
              <w:t>Retail Trade</w:t>
            </w:r>
          </w:p>
        </w:tc>
        <w:tc>
          <w:tcPr>
            <w:tcW w:w="1895" w:type="dxa"/>
            <w:tcBorders>
              <w:top w:val="single" w:sz="4" w:space="0" w:color="BBBBBB"/>
              <w:left w:val="single" w:sz="4" w:space="0" w:color="BBBBBB"/>
              <w:bottom w:val="single" w:sz="4" w:space="0" w:color="BBBBBB"/>
              <w:right w:val="single" w:sz="4" w:space="0" w:color="BBBBBB"/>
            </w:tcBorders>
            <w:shd w:val="clear" w:color="auto" w:fill="F2F2F2"/>
            <w:tcMar>
              <w:top w:w="60" w:type="dxa"/>
              <w:left w:w="140" w:type="dxa"/>
              <w:bottom w:w="60" w:type="dxa"/>
              <w:right w:w="140" w:type="dxa"/>
            </w:tcMar>
          </w:tcPr>
          <w:p w14:paraId="7C9C6720" w14:textId="77777777" w:rsidR="00D320B1" w:rsidRDefault="00D320B1" w:rsidP="006C151B">
            <w:pPr>
              <w:jc w:val="center"/>
            </w:pPr>
            <w:r>
              <w:rPr>
                <w:rFonts w:ascii="Arial" w:eastAsia="Arial" w:hAnsi="Arial" w:cs="Arial"/>
                <w:sz w:val="19"/>
                <w:szCs w:val="19"/>
              </w:rPr>
              <w:t>0.60</w:t>
            </w:r>
          </w:p>
        </w:tc>
        <w:tc>
          <w:tcPr>
            <w:tcW w:w="1941" w:type="dxa"/>
            <w:tcBorders>
              <w:top w:val="single" w:sz="4" w:space="0" w:color="BBBBBB"/>
              <w:left w:val="single" w:sz="4" w:space="0" w:color="BBBBBB"/>
              <w:bottom w:val="single" w:sz="4" w:space="0" w:color="BBBBBB"/>
              <w:right w:val="single" w:sz="4" w:space="0" w:color="BBBBBB"/>
            </w:tcBorders>
            <w:shd w:val="clear" w:color="auto" w:fill="F2F2F2"/>
            <w:tcMar>
              <w:top w:w="60" w:type="dxa"/>
              <w:left w:w="140" w:type="dxa"/>
              <w:bottom w:w="60" w:type="dxa"/>
              <w:right w:w="140" w:type="dxa"/>
            </w:tcMar>
          </w:tcPr>
          <w:p w14:paraId="3D8EA9E6" w14:textId="77777777" w:rsidR="00D320B1" w:rsidRDefault="00D320B1" w:rsidP="006C151B">
            <w:pPr>
              <w:jc w:val="right"/>
            </w:pPr>
            <w:r>
              <w:rPr>
                <w:rFonts w:ascii="Arial" w:eastAsia="Arial" w:hAnsi="Arial" w:cs="Arial"/>
                <w:sz w:val="19"/>
                <w:szCs w:val="19"/>
              </w:rPr>
              <w:t>44.4%</w:t>
            </w:r>
          </w:p>
        </w:tc>
        <w:tc>
          <w:tcPr>
            <w:tcW w:w="1154" w:type="dxa"/>
            <w:tcBorders>
              <w:top w:val="single" w:sz="4" w:space="0" w:color="BBBBBB"/>
              <w:left w:val="single" w:sz="4" w:space="0" w:color="BBBBBB"/>
              <w:bottom w:val="single" w:sz="4" w:space="0" w:color="BBBBBB"/>
              <w:right w:val="single" w:sz="4" w:space="0" w:color="BBBBBB"/>
            </w:tcBorders>
            <w:shd w:val="clear" w:color="auto" w:fill="F2F2F2"/>
            <w:tcMar>
              <w:top w:w="60" w:type="dxa"/>
              <w:left w:w="140" w:type="dxa"/>
              <w:bottom w:w="60" w:type="dxa"/>
              <w:right w:w="140" w:type="dxa"/>
            </w:tcMar>
          </w:tcPr>
          <w:p w14:paraId="2518BC04" w14:textId="77777777" w:rsidR="00D320B1" w:rsidRDefault="00D320B1" w:rsidP="006C151B">
            <w:pPr>
              <w:jc w:val="right"/>
            </w:pPr>
            <w:r>
              <w:rPr>
                <w:rFonts w:ascii="Arial" w:eastAsia="Arial" w:hAnsi="Arial" w:cs="Arial"/>
                <w:sz w:val="19"/>
                <w:szCs w:val="19"/>
              </w:rPr>
              <w:t>184,770</w:t>
            </w:r>
          </w:p>
        </w:tc>
      </w:tr>
      <w:tr w:rsidR="0052709C" w14:paraId="6257F7EC" w14:textId="77777777" w:rsidTr="00D320B1">
        <w:trPr>
          <w:trHeight w:val="418"/>
        </w:trPr>
        <w:tc>
          <w:tcPr>
            <w:tcW w:w="3928" w:type="dxa"/>
            <w:tcBorders>
              <w:top w:val="single" w:sz="4" w:space="0" w:color="BBBBBB"/>
              <w:left w:val="single" w:sz="4" w:space="0" w:color="BBBBBB"/>
              <w:bottom w:val="single" w:sz="4" w:space="0" w:color="BBBBBB"/>
              <w:right w:val="single" w:sz="4" w:space="0" w:color="BBBBBB"/>
            </w:tcBorders>
            <w:shd w:val="clear" w:color="auto" w:fill="FFFFFF"/>
            <w:tcMar>
              <w:top w:w="60" w:type="dxa"/>
              <w:left w:w="140" w:type="dxa"/>
              <w:bottom w:w="60" w:type="dxa"/>
              <w:right w:w="140" w:type="dxa"/>
            </w:tcMar>
          </w:tcPr>
          <w:p w14:paraId="11E058FA" w14:textId="77777777" w:rsidR="00D320B1" w:rsidRDefault="00D320B1" w:rsidP="006C151B">
            <w:r>
              <w:rPr>
                <w:rFonts w:ascii="Arial" w:eastAsia="Arial" w:hAnsi="Arial" w:cs="Arial"/>
                <w:sz w:val="19"/>
                <w:szCs w:val="19"/>
              </w:rPr>
              <w:t>Real Estate &amp; Rental/Leasing</w:t>
            </w:r>
          </w:p>
        </w:tc>
        <w:tc>
          <w:tcPr>
            <w:tcW w:w="1895" w:type="dxa"/>
            <w:tcBorders>
              <w:top w:val="single" w:sz="4" w:space="0" w:color="BBBBBB"/>
              <w:left w:val="single" w:sz="4" w:space="0" w:color="BBBBBB"/>
              <w:bottom w:val="single" w:sz="4" w:space="0" w:color="BBBBBB"/>
              <w:right w:val="single" w:sz="4" w:space="0" w:color="BBBBBB"/>
            </w:tcBorders>
            <w:shd w:val="clear" w:color="auto" w:fill="FFFFFF"/>
            <w:tcMar>
              <w:top w:w="60" w:type="dxa"/>
              <w:left w:w="140" w:type="dxa"/>
              <w:bottom w:w="60" w:type="dxa"/>
              <w:right w:w="140" w:type="dxa"/>
            </w:tcMar>
          </w:tcPr>
          <w:p w14:paraId="66C232C7" w14:textId="77777777" w:rsidR="00D320B1" w:rsidRDefault="00D320B1" w:rsidP="006C151B">
            <w:pPr>
              <w:jc w:val="center"/>
            </w:pPr>
            <w:r>
              <w:rPr>
                <w:rFonts w:ascii="Arial" w:eastAsia="Arial" w:hAnsi="Arial" w:cs="Arial"/>
                <w:sz w:val="19"/>
                <w:szCs w:val="19"/>
              </w:rPr>
              <w:t>0.60</w:t>
            </w:r>
          </w:p>
        </w:tc>
        <w:tc>
          <w:tcPr>
            <w:tcW w:w="1941" w:type="dxa"/>
            <w:tcBorders>
              <w:top w:val="single" w:sz="4" w:space="0" w:color="BBBBBB"/>
              <w:left w:val="single" w:sz="4" w:space="0" w:color="BBBBBB"/>
              <w:bottom w:val="single" w:sz="4" w:space="0" w:color="BBBBBB"/>
              <w:right w:val="single" w:sz="4" w:space="0" w:color="BBBBBB"/>
            </w:tcBorders>
            <w:shd w:val="clear" w:color="auto" w:fill="FFFFFF"/>
            <w:tcMar>
              <w:top w:w="60" w:type="dxa"/>
              <w:left w:w="140" w:type="dxa"/>
              <w:bottom w:w="60" w:type="dxa"/>
              <w:right w:w="140" w:type="dxa"/>
            </w:tcMar>
          </w:tcPr>
          <w:p w14:paraId="2ECA967E" w14:textId="77777777" w:rsidR="00D320B1" w:rsidRDefault="00D320B1" w:rsidP="006C151B">
            <w:pPr>
              <w:jc w:val="right"/>
            </w:pPr>
            <w:r>
              <w:rPr>
                <w:rFonts w:ascii="Arial" w:eastAsia="Arial" w:hAnsi="Arial" w:cs="Arial"/>
                <w:sz w:val="19"/>
                <w:szCs w:val="19"/>
              </w:rPr>
              <w:t>23.3%</w:t>
            </w:r>
          </w:p>
        </w:tc>
        <w:tc>
          <w:tcPr>
            <w:tcW w:w="1154" w:type="dxa"/>
            <w:tcBorders>
              <w:top w:val="single" w:sz="4" w:space="0" w:color="BBBBBB"/>
              <w:left w:val="single" w:sz="4" w:space="0" w:color="BBBBBB"/>
              <w:bottom w:val="single" w:sz="4" w:space="0" w:color="BBBBBB"/>
              <w:right w:val="single" w:sz="4" w:space="0" w:color="BBBBBB"/>
            </w:tcBorders>
            <w:shd w:val="clear" w:color="auto" w:fill="FFFFFF"/>
            <w:tcMar>
              <w:top w:w="60" w:type="dxa"/>
              <w:left w:w="140" w:type="dxa"/>
              <w:bottom w:w="60" w:type="dxa"/>
              <w:right w:w="140" w:type="dxa"/>
            </w:tcMar>
          </w:tcPr>
          <w:p w14:paraId="2CFC33B2" w14:textId="77777777" w:rsidR="00D320B1" w:rsidRDefault="00D320B1" w:rsidP="006C151B">
            <w:pPr>
              <w:jc w:val="right"/>
            </w:pPr>
            <w:r>
              <w:rPr>
                <w:rFonts w:ascii="Arial" w:eastAsia="Arial" w:hAnsi="Arial" w:cs="Arial"/>
                <w:sz w:val="19"/>
                <w:szCs w:val="19"/>
              </w:rPr>
              <w:t>17,305</w:t>
            </w:r>
          </w:p>
        </w:tc>
      </w:tr>
      <w:tr w:rsidR="0052709C" w14:paraId="2A11FD83" w14:textId="77777777" w:rsidTr="00D320B1">
        <w:trPr>
          <w:trHeight w:val="405"/>
        </w:trPr>
        <w:tc>
          <w:tcPr>
            <w:tcW w:w="3928" w:type="dxa"/>
            <w:tcBorders>
              <w:top w:val="single" w:sz="4" w:space="0" w:color="BBBBBB"/>
              <w:left w:val="single" w:sz="4" w:space="0" w:color="BBBBBB"/>
              <w:bottom w:val="single" w:sz="4" w:space="0" w:color="BBBBBB"/>
              <w:right w:val="single" w:sz="4" w:space="0" w:color="BBBBBB"/>
            </w:tcBorders>
            <w:shd w:val="clear" w:color="auto" w:fill="F2F2F2"/>
            <w:tcMar>
              <w:top w:w="60" w:type="dxa"/>
              <w:left w:w="140" w:type="dxa"/>
              <w:bottom w:w="60" w:type="dxa"/>
              <w:right w:w="140" w:type="dxa"/>
            </w:tcMar>
          </w:tcPr>
          <w:p w14:paraId="63CF04C7" w14:textId="77777777" w:rsidR="00D320B1" w:rsidRDefault="00D320B1" w:rsidP="006C151B">
            <w:r>
              <w:rPr>
                <w:rFonts w:ascii="Arial" w:eastAsia="Arial" w:hAnsi="Arial" w:cs="Arial"/>
                <w:sz w:val="19"/>
                <w:szCs w:val="19"/>
              </w:rPr>
              <w:t>Information</w:t>
            </w:r>
          </w:p>
        </w:tc>
        <w:tc>
          <w:tcPr>
            <w:tcW w:w="1895" w:type="dxa"/>
            <w:tcBorders>
              <w:top w:val="single" w:sz="4" w:space="0" w:color="BBBBBB"/>
              <w:left w:val="single" w:sz="4" w:space="0" w:color="BBBBBB"/>
              <w:bottom w:val="single" w:sz="4" w:space="0" w:color="BBBBBB"/>
              <w:right w:val="single" w:sz="4" w:space="0" w:color="BBBBBB"/>
            </w:tcBorders>
            <w:shd w:val="clear" w:color="auto" w:fill="F2F2F2"/>
            <w:tcMar>
              <w:top w:w="60" w:type="dxa"/>
              <w:left w:w="140" w:type="dxa"/>
              <w:bottom w:w="60" w:type="dxa"/>
              <w:right w:w="140" w:type="dxa"/>
            </w:tcMar>
          </w:tcPr>
          <w:p w14:paraId="17F743A7" w14:textId="77777777" w:rsidR="00D320B1" w:rsidRDefault="00D320B1" w:rsidP="006C151B">
            <w:pPr>
              <w:jc w:val="center"/>
            </w:pPr>
            <w:r>
              <w:rPr>
                <w:rFonts w:ascii="Arial" w:eastAsia="Arial" w:hAnsi="Arial" w:cs="Arial"/>
                <w:sz w:val="19"/>
                <w:szCs w:val="19"/>
              </w:rPr>
              <w:t>0.60</w:t>
            </w:r>
          </w:p>
        </w:tc>
        <w:tc>
          <w:tcPr>
            <w:tcW w:w="1941" w:type="dxa"/>
            <w:tcBorders>
              <w:top w:val="single" w:sz="4" w:space="0" w:color="BBBBBB"/>
              <w:left w:val="single" w:sz="4" w:space="0" w:color="BBBBBB"/>
              <w:bottom w:val="single" w:sz="4" w:space="0" w:color="BBBBBB"/>
              <w:right w:val="single" w:sz="4" w:space="0" w:color="BBBBBB"/>
            </w:tcBorders>
            <w:shd w:val="clear" w:color="auto" w:fill="F2F2F2"/>
            <w:tcMar>
              <w:top w:w="60" w:type="dxa"/>
              <w:left w:w="140" w:type="dxa"/>
              <w:bottom w:w="60" w:type="dxa"/>
              <w:right w:w="140" w:type="dxa"/>
            </w:tcMar>
          </w:tcPr>
          <w:p w14:paraId="6B53F1BE" w14:textId="77777777" w:rsidR="00D320B1" w:rsidRDefault="00D320B1" w:rsidP="006C151B">
            <w:pPr>
              <w:jc w:val="right"/>
            </w:pPr>
            <w:r>
              <w:rPr>
                <w:rFonts w:ascii="Arial" w:eastAsia="Arial" w:hAnsi="Arial" w:cs="Arial"/>
                <w:sz w:val="19"/>
                <w:szCs w:val="19"/>
              </w:rPr>
              <w:t>24.4%</w:t>
            </w:r>
          </w:p>
        </w:tc>
        <w:tc>
          <w:tcPr>
            <w:tcW w:w="1154" w:type="dxa"/>
            <w:tcBorders>
              <w:top w:val="single" w:sz="4" w:space="0" w:color="BBBBBB"/>
              <w:left w:val="single" w:sz="4" w:space="0" w:color="BBBBBB"/>
              <w:bottom w:val="single" w:sz="4" w:space="0" w:color="BBBBBB"/>
              <w:right w:val="single" w:sz="4" w:space="0" w:color="BBBBBB"/>
            </w:tcBorders>
            <w:shd w:val="clear" w:color="auto" w:fill="F2F2F2"/>
            <w:tcMar>
              <w:top w:w="60" w:type="dxa"/>
              <w:left w:w="140" w:type="dxa"/>
              <w:bottom w:w="60" w:type="dxa"/>
              <w:right w:w="140" w:type="dxa"/>
            </w:tcMar>
          </w:tcPr>
          <w:p w14:paraId="0E6DEC61" w14:textId="77777777" w:rsidR="00D320B1" w:rsidRDefault="00D320B1" w:rsidP="006C151B">
            <w:pPr>
              <w:jc w:val="right"/>
            </w:pPr>
            <w:r>
              <w:rPr>
                <w:rFonts w:ascii="Arial" w:eastAsia="Arial" w:hAnsi="Arial" w:cs="Arial"/>
                <w:sz w:val="19"/>
                <w:szCs w:val="19"/>
              </w:rPr>
              <w:t>21,402</w:t>
            </w:r>
          </w:p>
        </w:tc>
      </w:tr>
      <w:tr w:rsidR="0052709C" w14:paraId="31EC0C27" w14:textId="77777777" w:rsidTr="00D320B1">
        <w:trPr>
          <w:trHeight w:val="405"/>
        </w:trPr>
        <w:tc>
          <w:tcPr>
            <w:tcW w:w="3928" w:type="dxa"/>
            <w:tcBorders>
              <w:top w:val="single" w:sz="4" w:space="0" w:color="BBBBBB"/>
              <w:left w:val="single" w:sz="4" w:space="0" w:color="BBBBBB"/>
              <w:bottom w:val="single" w:sz="4" w:space="0" w:color="BBBBBB"/>
              <w:right w:val="single" w:sz="4" w:space="0" w:color="BBBBBB"/>
            </w:tcBorders>
            <w:shd w:val="clear" w:color="auto" w:fill="FFFFFF"/>
            <w:tcMar>
              <w:top w:w="60" w:type="dxa"/>
              <w:left w:w="140" w:type="dxa"/>
              <w:bottom w:w="60" w:type="dxa"/>
              <w:right w:w="140" w:type="dxa"/>
            </w:tcMar>
          </w:tcPr>
          <w:p w14:paraId="0F374DE1" w14:textId="77777777" w:rsidR="00D320B1" w:rsidRDefault="00D320B1" w:rsidP="006C151B">
            <w:r>
              <w:rPr>
                <w:rFonts w:ascii="Arial" w:eastAsia="Arial" w:hAnsi="Arial" w:cs="Arial"/>
                <w:sz w:val="19"/>
                <w:szCs w:val="19"/>
              </w:rPr>
              <w:t>Finance &amp; Insurance</w:t>
            </w:r>
          </w:p>
        </w:tc>
        <w:tc>
          <w:tcPr>
            <w:tcW w:w="1895" w:type="dxa"/>
            <w:tcBorders>
              <w:top w:val="single" w:sz="4" w:space="0" w:color="BBBBBB"/>
              <w:left w:val="single" w:sz="4" w:space="0" w:color="BBBBBB"/>
              <w:bottom w:val="single" w:sz="4" w:space="0" w:color="BBBBBB"/>
              <w:right w:val="single" w:sz="4" w:space="0" w:color="BBBBBB"/>
            </w:tcBorders>
            <w:shd w:val="clear" w:color="auto" w:fill="FFFFFF"/>
            <w:tcMar>
              <w:top w:w="60" w:type="dxa"/>
              <w:left w:w="140" w:type="dxa"/>
              <w:bottom w:w="60" w:type="dxa"/>
              <w:right w:w="140" w:type="dxa"/>
            </w:tcMar>
          </w:tcPr>
          <w:p w14:paraId="57B3688F" w14:textId="77777777" w:rsidR="00D320B1" w:rsidRDefault="00D320B1" w:rsidP="006C151B">
            <w:pPr>
              <w:jc w:val="center"/>
            </w:pPr>
            <w:r>
              <w:rPr>
                <w:rFonts w:ascii="Arial" w:eastAsia="Arial" w:hAnsi="Arial" w:cs="Arial"/>
                <w:sz w:val="19"/>
                <w:szCs w:val="19"/>
              </w:rPr>
              <w:t>0.60</w:t>
            </w:r>
          </w:p>
        </w:tc>
        <w:tc>
          <w:tcPr>
            <w:tcW w:w="1941" w:type="dxa"/>
            <w:tcBorders>
              <w:top w:val="single" w:sz="4" w:space="0" w:color="BBBBBB"/>
              <w:left w:val="single" w:sz="4" w:space="0" w:color="BBBBBB"/>
              <w:bottom w:val="single" w:sz="4" w:space="0" w:color="BBBBBB"/>
              <w:right w:val="single" w:sz="4" w:space="0" w:color="BBBBBB"/>
            </w:tcBorders>
            <w:shd w:val="clear" w:color="auto" w:fill="FFFFFF"/>
            <w:tcMar>
              <w:top w:w="60" w:type="dxa"/>
              <w:left w:w="140" w:type="dxa"/>
              <w:bottom w:w="60" w:type="dxa"/>
              <w:right w:w="140" w:type="dxa"/>
            </w:tcMar>
          </w:tcPr>
          <w:p w14:paraId="76A7D4B6" w14:textId="77777777" w:rsidR="00D320B1" w:rsidRDefault="00D320B1" w:rsidP="006C151B">
            <w:pPr>
              <w:jc w:val="right"/>
            </w:pPr>
            <w:r>
              <w:rPr>
                <w:rFonts w:ascii="Arial" w:eastAsia="Arial" w:hAnsi="Arial" w:cs="Arial"/>
                <w:sz w:val="19"/>
                <w:szCs w:val="19"/>
              </w:rPr>
              <w:t>31.6%</w:t>
            </w:r>
          </w:p>
        </w:tc>
        <w:tc>
          <w:tcPr>
            <w:tcW w:w="1154" w:type="dxa"/>
            <w:tcBorders>
              <w:top w:val="single" w:sz="4" w:space="0" w:color="BBBBBB"/>
              <w:left w:val="single" w:sz="4" w:space="0" w:color="BBBBBB"/>
              <w:bottom w:val="single" w:sz="4" w:space="0" w:color="BBBBBB"/>
              <w:right w:val="single" w:sz="4" w:space="0" w:color="BBBBBB"/>
            </w:tcBorders>
            <w:shd w:val="clear" w:color="auto" w:fill="FFFFFF"/>
            <w:tcMar>
              <w:top w:w="60" w:type="dxa"/>
              <w:left w:w="140" w:type="dxa"/>
              <w:bottom w:w="60" w:type="dxa"/>
              <w:right w:w="140" w:type="dxa"/>
            </w:tcMar>
          </w:tcPr>
          <w:p w14:paraId="1F985470" w14:textId="77777777" w:rsidR="00D320B1" w:rsidRDefault="00D320B1" w:rsidP="006C151B">
            <w:pPr>
              <w:jc w:val="right"/>
            </w:pPr>
            <w:r>
              <w:rPr>
                <w:rFonts w:ascii="Arial" w:eastAsia="Arial" w:hAnsi="Arial" w:cs="Arial"/>
                <w:sz w:val="19"/>
                <w:szCs w:val="19"/>
              </w:rPr>
              <w:t>82,152</w:t>
            </w:r>
          </w:p>
        </w:tc>
      </w:tr>
      <w:tr w:rsidR="0052709C" w14:paraId="46CB450F" w14:textId="77777777" w:rsidTr="00D320B1">
        <w:trPr>
          <w:trHeight w:val="418"/>
        </w:trPr>
        <w:tc>
          <w:tcPr>
            <w:tcW w:w="3928" w:type="dxa"/>
            <w:tcBorders>
              <w:top w:val="single" w:sz="4" w:space="0" w:color="BBBBBB"/>
              <w:left w:val="single" w:sz="4" w:space="0" w:color="BBBBBB"/>
              <w:bottom w:val="single" w:sz="4" w:space="0" w:color="BBBBBB"/>
              <w:right w:val="single" w:sz="4" w:space="0" w:color="BBBBBB"/>
            </w:tcBorders>
            <w:shd w:val="clear" w:color="auto" w:fill="F2F2F2"/>
            <w:tcMar>
              <w:top w:w="60" w:type="dxa"/>
              <w:left w:w="140" w:type="dxa"/>
              <w:bottom w:w="60" w:type="dxa"/>
              <w:right w:w="140" w:type="dxa"/>
            </w:tcMar>
          </w:tcPr>
          <w:p w14:paraId="479B083D" w14:textId="77777777" w:rsidR="00D320B1" w:rsidRDefault="00D320B1" w:rsidP="006C151B">
            <w:r>
              <w:rPr>
                <w:rFonts w:ascii="Arial" w:eastAsia="Arial" w:hAnsi="Arial" w:cs="Arial"/>
                <w:sz w:val="19"/>
                <w:szCs w:val="19"/>
              </w:rPr>
              <w:t>Educational Services</w:t>
            </w:r>
          </w:p>
        </w:tc>
        <w:tc>
          <w:tcPr>
            <w:tcW w:w="1895" w:type="dxa"/>
            <w:tcBorders>
              <w:top w:val="single" w:sz="4" w:space="0" w:color="BBBBBB"/>
              <w:left w:val="single" w:sz="4" w:space="0" w:color="BBBBBB"/>
              <w:bottom w:val="single" w:sz="4" w:space="0" w:color="BBBBBB"/>
              <w:right w:val="single" w:sz="4" w:space="0" w:color="BBBBBB"/>
            </w:tcBorders>
            <w:shd w:val="clear" w:color="auto" w:fill="F2F2F2"/>
            <w:tcMar>
              <w:top w:w="60" w:type="dxa"/>
              <w:left w:w="140" w:type="dxa"/>
              <w:bottom w:w="60" w:type="dxa"/>
              <w:right w:w="140" w:type="dxa"/>
            </w:tcMar>
          </w:tcPr>
          <w:p w14:paraId="2197DE5C" w14:textId="77777777" w:rsidR="00D320B1" w:rsidRDefault="00D320B1" w:rsidP="006C151B">
            <w:pPr>
              <w:jc w:val="center"/>
            </w:pPr>
            <w:r>
              <w:rPr>
                <w:rFonts w:ascii="Arial" w:eastAsia="Arial" w:hAnsi="Arial" w:cs="Arial"/>
                <w:sz w:val="19"/>
                <w:szCs w:val="19"/>
              </w:rPr>
              <w:t>0.59</w:t>
            </w:r>
          </w:p>
        </w:tc>
        <w:tc>
          <w:tcPr>
            <w:tcW w:w="1941" w:type="dxa"/>
            <w:tcBorders>
              <w:top w:val="single" w:sz="4" w:space="0" w:color="BBBBBB"/>
              <w:left w:val="single" w:sz="4" w:space="0" w:color="BBBBBB"/>
              <w:bottom w:val="single" w:sz="4" w:space="0" w:color="BBBBBB"/>
              <w:right w:val="single" w:sz="4" w:space="0" w:color="BBBBBB"/>
            </w:tcBorders>
            <w:shd w:val="clear" w:color="auto" w:fill="F2F2F2"/>
            <w:tcMar>
              <w:top w:w="60" w:type="dxa"/>
              <w:left w:w="140" w:type="dxa"/>
              <w:bottom w:w="60" w:type="dxa"/>
              <w:right w:w="140" w:type="dxa"/>
            </w:tcMar>
          </w:tcPr>
          <w:p w14:paraId="04D7F208" w14:textId="77777777" w:rsidR="00D320B1" w:rsidRDefault="00D320B1" w:rsidP="006C151B">
            <w:pPr>
              <w:jc w:val="right"/>
            </w:pPr>
            <w:r>
              <w:rPr>
                <w:rFonts w:ascii="Arial" w:eastAsia="Arial" w:hAnsi="Arial" w:cs="Arial"/>
                <w:sz w:val="19"/>
                <w:szCs w:val="19"/>
              </w:rPr>
              <w:t>8.9%</w:t>
            </w:r>
          </w:p>
        </w:tc>
        <w:tc>
          <w:tcPr>
            <w:tcW w:w="1154" w:type="dxa"/>
            <w:tcBorders>
              <w:top w:val="single" w:sz="4" w:space="0" w:color="BBBBBB"/>
              <w:left w:val="single" w:sz="4" w:space="0" w:color="BBBBBB"/>
              <w:bottom w:val="single" w:sz="4" w:space="0" w:color="BBBBBB"/>
              <w:right w:val="single" w:sz="4" w:space="0" w:color="BBBBBB"/>
            </w:tcBorders>
            <w:shd w:val="clear" w:color="auto" w:fill="F2F2F2"/>
            <w:tcMar>
              <w:top w:w="60" w:type="dxa"/>
              <w:left w:w="140" w:type="dxa"/>
              <w:bottom w:w="60" w:type="dxa"/>
              <w:right w:w="140" w:type="dxa"/>
            </w:tcMar>
          </w:tcPr>
          <w:p w14:paraId="6B6CC4EA" w14:textId="77777777" w:rsidR="00D320B1" w:rsidRDefault="00D320B1" w:rsidP="006C151B">
            <w:pPr>
              <w:jc w:val="right"/>
            </w:pPr>
            <w:r>
              <w:rPr>
                <w:rFonts w:ascii="Arial" w:eastAsia="Arial" w:hAnsi="Arial" w:cs="Arial"/>
                <w:sz w:val="19"/>
                <w:szCs w:val="19"/>
              </w:rPr>
              <w:t>149,571</w:t>
            </w:r>
          </w:p>
        </w:tc>
      </w:tr>
      <w:tr w:rsidR="0052709C" w14:paraId="0D3378BC" w14:textId="77777777" w:rsidTr="00D320B1">
        <w:trPr>
          <w:trHeight w:val="405"/>
        </w:trPr>
        <w:tc>
          <w:tcPr>
            <w:tcW w:w="3928" w:type="dxa"/>
            <w:tcBorders>
              <w:top w:val="single" w:sz="4" w:space="0" w:color="BBBBBB"/>
              <w:left w:val="single" w:sz="4" w:space="0" w:color="BBBBBB"/>
              <w:bottom w:val="single" w:sz="4" w:space="0" w:color="BBBBBB"/>
              <w:right w:val="single" w:sz="4" w:space="0" w:color="BBBBBB"/>
            </w:tcBorders>
            <w:shd w:val="clear" w:color="auto" w:fill="FFFFFF"/>
            <w:tcMar>
              <w:top w:w="60" w:type="dxa"/>
              <w:left w:w="140" w:type="dxa"/>
              <w:bottom w:w="60" w:type="dxa"/>
              <w:right w:w="140" w:type="dxa"/>
            </w:tcMar>
          </w:tcPr>
          <w:p w14:paraId="7F253A9E" w14:textId="77777777" w:rsidR="00D320B1" w:rsidRDefault="00D320B1" w:rsidP="006C151B">
            <w:r>
              <w:rPr>
                <w:rFonts w:ascii="Arial" w:eastAsia="Arial" w:hAnsi="Arial" w:cs="Arial"/>
                <w:sz w:val="19"/>
                <w:szCs w:val="19"/>
              </w:rPr>
              <w:t>Administrative &amp; Support Services</w:t>
            </w:r>
          </w:p>
        </w:tc>
        <w:tc>
          <w:tcPr>
            <w:tcW w:w="1895" w:type="dxa"/>
            <w:tcBorders>
              <w:top w:val="single" w:sz="4" w:space="0" w:color="BBBBBB"/>
              <w:left w:val="single" w:sz="4" w:space="0" w:color="BBBBBB"/>
              <w:bottom w:val="single" w:sz="4" w:space="0" w:color="BBBBBB"/>
              <w:right w:val="single" w:sz="4" w:space="0" w:color="BBBBBB"/>
            </w:tcBorders>
            <w:shd w:val="clear" w:color="auto" w:fill="FFFFFF"/>
            <w:tcMar>
              <w:top w:w="60" w:type="dxa"/>
              <w:left w:w="140" w:type="dxa"/>
              <w:bottom w:w="60" w:type="dxa"/>
              <w:right w:w="140" w:type="dxa"/>
            </w:tcMar>
          </w:tcPr>
          <w:p w14:paraId="5246CE5C" w14:textId="77777777" w:rsidR="00D320B1" w:rsidRDefault="00D320B1" w:rsidP="006C151B">
            <w:pPr>
              <w:jc w:val="center"/>
            </w:pPr>
            <w:r>
              <w:rPr>
                <w:rFonts w:ascii="Arial" w:eastAsia="Arial" w:hAnsi="Arial" w:cs="Arial"/>
                <w:sz w:val="19"/>
                <w:szCs w:val="19"/>
              </w:rPr>
              <w:t>0.58</w:t>
            </w:r>
          </w:p>
        </w:tc>
        <w:tc>
          <w:tcPr>
            <w:tcW w:w="1941" w:type="dxa"/>
            <w:tcBorders>
              <w:top w:val="single" w:sz="4" w:space="0" w:color="BBBBBB"/>
              <w:left w:val="single" w:sz="4" w:space="0" w:color="BBBBBB"/>
              <w:bottom w:val="single" w:sz="4" w:space="0" w:color="BBBBBB"/>
              <w:right w:val="single" w:sz="4" w:space="0" w:color="BBBBBB"/>
            </w:tcBorders>
            <w:shd w:val="clear" w:color="auto" w:fill="FFFFFF"/>
            <w:tcMar>
              <w:top w:w="60" w:type="dxa"/>
              <w:left w:w="140" w:type="dxa"/>
              <w:bottom w:w="60" w:type="dxa"/>
              <w:right w:w="140" w:type="dxa"/>
            </w:tcMar>
          </w:tcPr>
          <w:p w14:paraId="7CEB2B3F" w14:textId="77777777" w:rsidR="00D320B1" w:rsidRDefault="00D320B1" w:rsidP="006C151B">
            <w:pPr>
              <w:jc w:val="right"/>
            </w:pPr>
            <w:r>
              <w:rPr>
                <w:rFonts w:ascii="Arial" w:eastAsia="Arial" w:hAnsi="Arial" w:cs="Arial"/>
                <w:sz w:val="19"/>
                <w:szCs w:val="19"/>
              </w:rPr>
              <w:t>37.3%</w:t>
            </w:r>
          </w:p>
        </w:tc>
        <w:tc>
          <w:tcPr>
            <w:tcW w:w="1154" w:type="dxa"/>
            <w:tcBorders>
              <w:top w:val="single" w:sz="4" w:space="0" w:color="BBBBBB"/>
              <w:left w:val="single" w:sz="4" w:space="0" w:color="BBBBBB"/>
              <w:bottom w:val="single" w:sz="4" w:space="0" w:color="BBBBBB"/>
              <w:right w:val="single" w:sz="4" w:space="0" w:color="BBBBBB"/>
            </w:tcBorders>
            <w:shd w:val="clear" w:color="auto" w:fill="FFFFFF"/>
            <w:tcMar>
              <w:top w:w="60" w:type="dxa"/>
              <w:left w:w="140" w:type="dxa"/>
              <w:bottom w:w="60" w:type="dxa"/>
              <w:right w:w="140" w:type="dxa"/>
            </w:tcMar>
          </w:tcPr>
          <w:p w14:paraId="64E7018D" w14:textId="77777777" w:rsidR="00D320B1" w:rsidRDefault="00D320B1" w:rsidP="006C151B">
            <w:pPr>
              <w:jc w:val="right"/>
            </w:pPr>
            <w:r>
              <w:rPr>
                <w:rFonts w:ascii="Arial" w:eastAsia="Arial" w:hAnsi="Arial" w:cs="Arial"/>
                <w:sz w:val="19"/>
                <w:szCs w:val="19"/>
              </w:rPr>
              <w:t>62,078</w:t>
            </w:r>
          </w:p>
        </w:tc>
      </w:tr>
      <w:tr w:rsidR="0052709C" w14:paraId="4D0AE527" w14:textId="77777777" w:rsidTr="00D320B1">
        <w:trPr>
          <w:trHeight w:val="418"/>
        </w:trPr>
        <w:tc>
          <w:tcPr>
            <w:tcW w:w="3928" w:type="dxa"/>
            <w:tcBorders>
              <w:top w:val="single" w:sz="4" w:space="0" w:color="BBBBBB"/>
              <w:left w:val="single" w:sz="4" w:space="0" w:color="BBBBBB"/>
              <w:bottom w:val="single" w:sz="4" w:space="0" w:color="BBBBBB"/>
              <w:right w:val="single" w:sz="4" w:space="0" w:color="BBBBBB"/>
            </w:tcBorders>
            <w:shd w:val="clear" w:color="auto" w:fill="F2F2F2"/>
            <w:tcMar>
              <w:top w:w="60" w:type="dxa"/>
              <w:left w:w="140" w:type="dxa"/>
              <w:bottom w:w="60" w:type="dxa"/>
              <w:right w:w="140" w:type="dxa"/>
            </w:tcMar>
          </w:tcPr>
          <w:p w14:paraId="0AAB771A" w14:textId="77777777" w:rsidR="00D320B1" w:rsidRDefault="00D320B1" w:rsidP="006C151B">
            <w:r>
              <w:rPr>
                <w:rFonts w:ascii="Arial" w:eastAsia="Arial" w:hAnsi="Arial" w:cs="Arial"/>
                <w:sz w:val="19"/>
                <w:szCs w:val="19"/>
              </w:rPr>
              <w:t>Prof., Scientific &amp; Technical Services</w:t>
            </w:r>
          </w:p>
        </w:tc>
        <w:tc>
          <w:tcPr>
            <w:tcW w:w="1895" w:type="dxa"/>
            <w:tcBorders>
              <w:top w:val="single" w:sz="4" w:space="0" w:color="BBBBBB"/>
              <w:left w:val="single" w:sz="4" w:space="0" w:color="BBBBBB"/>
              <w:bottom w:val="single" w:sz="4" w:space="0" w:color="BBBBBB"/>
              <w:right w:val="single" w:sz="4" w:space="0" w:color="BBBBBB"/>
            </w:tcBorders>
            <w:shd w:val="clear" w:color="auto" w:fill="F2F2F2"/>
            <w:tcMar>
              <w:top w:w="60" w:type="dxa"/>
              <w:left w:w="140" w:type="dxa"/>
              <w:bottom w:w="60" w:type="dxa"/>
              <w:right w:w="140" w:type="dxa"/>
            </w:tcMar>
          </w:tcPr>
          <w:p w14:paraId="6F04D9C3" w14:textId="77777777" w:rsidR="00D320B1" w:rsidRDefault="00D320B1" w:rsidP="006C151B">
            <w:pPr>
              <w:jc w:val="center"/>
            </w:pPr>
            <w:r>
              <w:rPr>
                <w:rFonts w:ascii="Arial" w:eastAsia="Arial" w:hAnsi="Arial" w:cs="Arial"/>
                <w:sz w:val="19"/>
                <w:szCs w:val="19"/>
              </w:rPr>
              <w:t>0.58</w:t>
            </w:r>
          </w:p>
        </w:tc>
        <w:tc>
          <w:tcPr>
            <w:tcW w:w="1941" w:type="dxa"/>
            <w:tcBorders>
              <w:top w:val="single" w:sz="4" w:space="0" w:color="BBBBBB"/>
              <w:left w:val="single" w:sz="4" w:space="0" w:color="BBBBBB"/>
              <w:bottom w:val="single" w:sz="4" w:space="0" w:color="BBBBBB"/>
              <w:right w:val="single" w:sz="4" w:space="0" w:color="BBBBBB"/>
            </w:tcBorders>
            <w:shd w:val="clear" w:color="auto" w:fill="F2F2F2"/>
            <w:tcMar>
              <w:top w:w="60" w:type="dxa"/>
              <w:left w:w="140" w:type="dxa"/>
              <w:bottom w:w="60" w:type="dxa"/>
              <w:right w:w="140" w:type="dxa"/>
            </w:tcMar>
          </w:tcPr>
          <w:p w14:paraId="639C70A4" w14:textId="77777777" w:rsidR="00D320B1" w:rsidRDefault="00D320B1" w:rsidP="006C151B">
            <w:pPr>
              <w:jc w:val="right"/>
            </w:pPr>
            <w:r>
              <w:rPr>
                <w:rFonts w:ascii="Arial" w:eastAsia="Arial" w:hAnsi="Arial" w:cs="Arial"/>
                <w:sz w:val="19"/>
                <w:szCs w:val="19"/>
              </w:rPr>
              <w:t>19.1%</w:t>
            </w:r>
          </w:p>
        </w:tc>
        <w:tc>
          <w:tcPr>
            <w:tcW w:w="1154" w:type="dxa"/>
            <w:tcBorders>
              <w:top w:val="single" w:sz="4" w:space="0" w:color="BBBBBB"/>
              <w:left w:val="single" w:sz="4" w:space="0" w:color="BBBBBB"/>
              <w:bottom w:val="single" w:sz="4" w:space="0" w:color="BBBBBB"/>
              <w:right w:val="single" w:sz="4" w:space="0" w:color="BBBBBB"/>
            </w:tcBorders>
            <w:shd w:val="clear" w:color="auto" w:fill="F2F2F2"/>
            <w:tcMar>
              <w:top w:w="60" w:type="dxa"/>
              <w:left w:w="140" w:type="dxa"/>
              <w:bottom w:w="60" w:type="dxa"/>
              <w:right w:w="140" w:type="dxa"/>
            </w:tcMar>
          </w:tcPr>
          <w:p w14:paraId="039A2F08" w14:textId="77777777" w:rsidR="00D320B1" w:rsidRDefault="00D320B1" w:rsidP="006C151B">
            <w:pPr>
              <w:jc w:val="right"/>
            </w:pPr>
            <w:r>
              <w:rPr>
                <w:rFonts w:ascii="Arial" w:eastAsia="Arial" w:hAnsi="Arial" w:cs="Arial"/>
                <w:sz w:val="19"/>
                <w:szCs w:val="19"/>
              </w:rPr>
              <w:t>117,793</w:t>
            </w:r>
          </w:p>
        </w:tc>
      </w:tr>
      <w:tr w:rsidR="0052709C" w14:paraId="748C591C" w14:textId="77777777" w:rsidTr="00D320B1">
        <w:trPr>
          <w:trHeight w:val="405"/>
        </w:trPr>
        <w:tc>
          <w:tcPr>
            <w:tcW w:w="3928" w:type="dxa"/>
            <w:tcBorders>
              <w:top w:val="single" w:sz="4" w:space="0" w:color="BBBBBB"/>
              <w:left w:val="single" w:sz="4" w:space="0" w:color="BBBBBB"/>
              <w:bottom w:val="single" w:sz="4" w:space="0" w:color="BBBBBB"/>
              <w:right w:val="single" w:sz="4" w:space="0" w:color="BBBBBB"/>
            </w:tcBorders>
            <w:shd w:val="clear" w:color="auto" w:fill="FFFFFF"/>
            <w:tcMar>
              <w:top w:w="60" w:type="dxa"/>
              <w:left w:w="140" w:type="dxa"/>
              <w:bottom w:w="60" w:type="dxa"/>
              <w:right w:w="140" w:type="dxa"/>
            </w:tcMar>
          </w:tcPr>
          <w:p w14:paraId="3605D931" w14:textId="77777777" w:rsidR="00D320B1" w:rsidRDefault="00D320B1" w:rsidP="006C151B">
            <w:r>
              <w:rPr>
                <w:rFonts w:ascii="Arial" w:eastAsia="Arial" w:hAnsi="Arial" w:cs="Arial"/>
                <w:sz w:val="19"/>
                <w:szCs w:val="19"/>
              </w:rPr>
              <w:t>Arts, Entertainment &amp; Recreation</w:t>
            </w:r>
          </w:p>
        </w:tc>
        <w:tc>
          <w:tcPr>
            <w:tcW w:w="1895" w:type="dxa"/>
            <w:tcBorders>
              <w:top w:val="single" w:sz="4" w:space="0" w:color="BBBBBB"/>
              <w:left w:val="single" w:sz="4" w:space="0" w:color="BBBBBB"/>
              <w:bottom w:val="single" w:sz="4" w:space="0" w:color="BBBBBB"/>
              <w:right w:val="single" w:sz="4" w:space="0" w:color="BBBBBB"/>
            </w:tcBorders>
            <w:shd w:val="clear" w:color="auto" w:fill="FFFFFF"/>
            <w:tcMar>
              <w:top w:w="60" w:type="dxa"/>
              <w:left w:w="140" w:type="dxa"/>
              <w:bottom w:w="60" w:type="dxa"/>
              <w:right w:w="140" w:type="dxa"/>
            </w:tcMar>
          </w:tcPr>
          <w:p w14:paraId="196A0658" w14:textId="77777777" w:rsidR="00D320B1" w:rsidRDefault="00D320B1" w:rsidP="006C151B">
            <w:pPr>
              <w:jc w:val="center"/>
            </w:pPr>
            <w:r>
              <w:rPr>
                <w:rFonts w:ascii="Arial" w:eastAsia="Arial" w:hAnsi="Arial" w:cs="Arial"/>
                <w:sz w:val="19"/>
                <w:szCs w:val="19"/>
              </w:rPr>
              <w:t>0.58</w:t>
            </w:r>
          </w:p>
        </w:tc>
        <w:tc>
          <w:tcPr>
            <w:tcW w:w="1941" w:type="dxa"/>
            <w:tcBorders>
              <w:top w:val="single" w:sz="4" w:space="0" w:color="BBBBBB"/>
              <w:left w:val="single" w:sz="4" w:space="0" w:color="BBBBBB"/>
              <w:bottom w:val="single" w:sz="4" w:space="0" w:color="BBBBBB"/>
              <w:right w:val="single" w:sz="4" w:space="0" w:color="BBBBBB"/>
            </w:tcBorders>
            <w:shd w:val="clear" w:color="auto" w:fill="FFFFFF"/>
            <w:tcMar>
              <w:top w:w="60" w:type="dxa"/>
              <w:left w:w="140" w:type="dxa"/>
              <w:bottom w:w="60" w:type="dxa"/>
              <w:right w:w="140" w:type="dxa"/>
            </w:tcMar>
          </w:tcPr>
          <w:p w14:paraId="003D3015" w14:textId="77777777" w:rsidR="00D320B1" w:rsidRDefault="00D320B1" w:rsidP="006C151B">
            <w:pPr>
              <w:jc w:val="right"/>
            </w:pPr>
            <w:r>
              <w:rPr>
                <w:rFonts w:ascii="Arial" w:eastAsia="Arial" w:hAnsi="Arial" w:cs="Arial"/>
                <w:sz w:val="19"/>
                <w:szCs w:val="19"/>
              </w:rPr>
              <w:t>20.4%</w:t>
            </w:r>
          </w:p>
        </w:tc>
        <w:tc>
          <w:tcPr>
            <w:tcW w:w="1154" w:type="dxa"/>
            <w:tcBorders>
              <w:top w:val="single" w:sz="4" w:space="0" w:color="BBBBBB"/>
              <w:left w:val="single" w:sz="4" w:space="0" w:color="BBBBBB"/>
              <w:bottom w:val="single" w:sz="4" w:space="0" w:color="BBBBBB"/>
              <w:right w:val="single" w:sz="4" w:space="0" w:color="BBBBBB"/>
            </w:tcBorders>
            <w:shd w:val="clear" w:color="auto" w:fill="FFFFFF"/>
            <w:tcMar>
              <w:top w:w="60" w:type="dxa"/>
              <w:left w:w="140" w:type="dxa"/>
              <w:bottom w:w="60" w:type="dxa"/>
              <w:right w:w="140" w:type="dxa"/>
            </w:tcMar>
          </w:tcPr>
          <w:p w14:paraId="466A3BFE" w14:textId="77777777" w:rsidR="00D320B1" w:rsidRDefault="00D320B1" w:rsidP="006C151B">
            <w:pPr>
              <w:jc w:val="right"/>
            </w:pPr>
            <w:r>
              <w:rPr>
                <w:rFonts w:ascii="Arial" w:eastAsia="Arial" w:hAnsi="Arial" w:cs="Arial"/>
                <w:sz w:val="19"/>
                <w:szCs w:val="19"/>
              </w:rPr>
              <w:t>11,092</w:t>
            </w:r>
          </w:p>
        </w:tc>
      </w:tr>
      <w:tr w:rsidR="0052709C" w14:paraId="57F428DA" w14:textId="77777777" w:rsidTr="00D320B1">
        <w:trPr>
          <w:trHeight w:val="405"/>
        </w:trPr>
        <w:tc>
          <w:tcPr>
            <w:tcW w:w="3928" w:type="dxa"/>
            <w:tcBorders>
              <w:top w:val="single" w:sz="4" w:space="0" w:color="BBBBBB"/>
              <w:left w:val="single" w:sz="4" w:space="0" w:color="BBBBBB"/>
              <w:bottom w:val="single" w:sz="4" w:space="0" w:color="BBBBBB"/>
              <w:right w:val="single" w:sz="4" w:space="0" w:color="BBBBBB"/>
            </w:tcBorders>
            <w:shd w:val="clear" w:color="auto" w:fill="F2F2F2"/>
            <w:tcMar>
              <w:top w:w="60" w:type="dxa"/>
              <w:left w:w="140" w:type="dxa"/>
              <w:bottom w:w="60" w:type="dxa"/>
              <w:right w:w="140" w:type="dxa"/>
            </w:tcMar>
          </w:tcPr>
          <w:p w14:paraId="47438D98" w14:textId="77777777" w:rsidR="00D320B1" w:rsidRDefault="00D320B1" w:rsidP="006C151B">
            <w:r>
              <w:rPr>
                <w:rFonts w:ascii="Arial" w:eastAsia="Arial" w:hAnsi="Arial" w:cs="Arial"/>
                <w:sz w:val="19"/>
                <w:szCs w:val="19"/>
              </w:rPr>
              <w:t>Accommodation &amp; Food Services</w:t>
            </w:r>
          </w:p>
        </w:tc>
        <w:tc>
          <w:tcPr>
            <w:tcW w:w="1895" w:type="dxa"/>
            <w:tcBorders>
              <w:top w:val="single" w:sz="4" w:space="0" w:color="BBBBBB"/>
              <w:left w:val="single" w:sz="4" w:space="0" w:color="BBBBBB"/>
              <w:bottom w:val="single" w:sz="4" w:space="0" w:color="BBBBBB"/>
              <w:right w:val="single" w:sz="4" w:space="0" w:color="BBBBBB"/>
            </w:tcBorders>
            <w:shd w:val="clear" w:color="auto" w:fill="F2F2F2"/>
            <w:tcMar>
              <w:top w:w="60" w:type="dxa"/>
              <w:left w:w="140" w:type="dxa"/>
              <w:bottom w:w="60" w:type="dxa"/>
              <w:right w:w="140" w:type="dxa"/>
            </w:tcMar>
          </w:tcPr>
          <w:p w14:paraId="059BD4F7" w14:textId="77777777" w:rsidR="00D320B1" w:rsidRDefault="00D320B1" w:rsidP="006C151B">
            <w:pPr>
              <w:jc w:val="center"/>
            </w:pPr>
            <w:r>
              <w:rPr>
                <w:rFonts w:ascii="Arial" w:eastAsia="Arial" w:hAnsi="Arial" w:cs="Arial"/>
                <w:sz w:val="19"/>
                <w:szCs w:val="19"/>
              </w:rPr>
              <w:t>0.57</w:t>
            </w:r>
          </w:p>
        </w:tc>
        <w:tc>
          <w:tcPr>
            <w:tcW w:w="1941" w:type="dxa"/>
            <w:tcBorders>
              <w:top w:val="single" w:sz="4" w:space="0" w:color="BBBBBB"/>
              <w:left w:val="single" w:sz="4" w:space="0" w:color="BBBBBB"/>
              <w:bottom w:val="single" w:sz="4" w:space="0" w:color="BBBBBB"/>
              <w:right w:val="single" w:sz="4" w:space="0" w:color="BBBBBB"/>
            </w:tcBorders>
            <w:shd w:val="clear" w:color="auto" w:fill="F2F2F2"/>
            <w:tcMar>
              <w:top w:w="60" w:type="dxa"/>
              <w:left w:w="140" w:type="dxa"/>
              <w:bottom w:w="60" w:type="dxa"/>
              <w:right w:w="140" w:type="dxa"/>
            </w:tcMar>
          </w:tcPr>
          <w:p w14:paraId="7EACB515" w14:textId="77777777" w:rsidR="00D320B1" w:rsidRDefault="00D320B1" w:rsidP="006C151B">
            <w:pPr>
              <w:jc w:val="right"/>
            </w:pPr>
            <w:r>
              <w:rPr>
                <w:rFonts w:ascii="Arial" w:eastAsia="Arial" w:hAnsi="Arial" w:cs="Arial"/>
                <w:sz w:val="19"/>
                <w:szCs w:val="19"/>
              </w:rPr>
              <w:t>37.0%</w:t>
            </w:r>
          </w:p>
        </w:tc>
        <w:tc>
          <w:tcPr>
            <w:tcW w:w="1154" w:type="dxa"/>
            <w:tcBorders>
              <w:top w:val="single" w:sz="4" w:space="0" w:color="BBBBBB"/>
              <w:left w:val="single" w:sz="4" w:space="0" w:color="BBBBBB"/>
              <w:bottom w:val="single" w:sz="4" w:space="0" w:color="BBBBBB"/>
              <w:right w:val="single" w:sz="4" w:space="0" w:color="BBBBBB"/>
            </w:tcBorders>
            <w:shd w:val="clear" w:color="auto" w:fill="F2F2F2"/>
            <w:tcMar>
              <w:top w:w="60" w:type="dxa"/>
              <w:left w:w="140" w:type="dxa"/>
              <w:bottom w:w="60" w:type="dxa"/>
              <w:right w:w="140" w:type="dxa"/>
            </w:tcMar>
          </w:tcPr>
          <w:p w14:paraId="42ABE81B" w14:textId="77777777" w:rsidR="00D320B1" w:rsidRDefault="00D320B1" w:rsidP="006C151B">
            <w:pPr>
              <w:jc w:val="right"/>
            </w:pPr>
            <w:r>
              <w:rPr>
                <w:rFonts w:ascii="Arial" w:eastAsia="Arial" w:hAnsi="Arial" w:cs="Arial"/>
                <w:sz w:val="19"/>
                <w:szCs w:val="19"/>
              </w:rPr>
              <w:t>66,833</w:t>
            </w:r>
          </w:p>
        </w:tc>
      </w:tr>
      <w:tr w:rsidR="0052709C" w14:paraId="61D05392" w14:textId="77777777" w:rsidTr="00D320B1">
        <w:trPr>
          <w:trHeight w:val="418"/>
        </w:trPr>
        <w:tc>
          <w:tcPr>
            <w:tcW w:w="3928" w:type="dxa"/>
            <w:tcBorders>
              <w:top w:val="single" w:sz="4" w:space="0" w:color="BBBBBB"/>
              <w:left w:val="single" w:sz="4" w:space="0" w:color="BBBBBB"/>
              <w:bottom w:val="single" w:sz="4" w:space="0" w:color="BBBBBB"/>
              <w:right w:val="single" w:sz="4" w:space="0" w:color="BBBBBB"/>
            </w:tcBorders>
            <w:shd w:val="clear" w:color="auto" w:fill="FFFFFF"/>
            <w:tcMar>
              <w:top w:w="60" w:type="dxa"/>
              <w:left w:w="140" w:type="dxa"/>
              <w:bottom w:w="60" w:type="dxa"/>
              <w:right w:w="140" w:type="dxa"/>
            </w:tcMar>
          </w:tcPr>
          <w:p w14:paraId="4CD01341" w14:textId="77777777" w:rsidR="00D320B1" w:rsidRDefault="00D320B1" w:rsidP="006C151B">
            <w:r>
              <w:rPr>
                <w:rFonts w:ascii="Arial" w:eastAsia="Arial" w:hAnsi="Arial" w:cs="Arial"/>
                <w:sz w:val="19"/>
                <w:szCs w:val="19"/>
              </w:rPr>
              <w:t>Public Administration</w:t>
            </w:r>
          </w:p>
        </w:tc>
        <w:tc>
          <w:tcPr>
            <w:tcW w:w="1895" w:type="dxa"/>
            <w:tcBorders>
              <w:top w:val="single" w:sz="4" w:space="0" w:color="BBBBBB"/>
              <w:left w:val="single" w:sz="4" w:space="0" w:color="BBBBBB"/>
              <w:bottom w:val="single" w:sz="4" w:space="0" w:color="BBBBBB"/>
              <w:right w:val="single" w:sz="4" w:space="0" w:color="BBBBBB"/>
            </w:tcBorders>
            <w:shd w:val="clear" w:color="auto" w:fill="FFFFFF"/>
            <w:tcMar>
              <w:top w:w="60" w:type="dxa"/>
              <w:left w:w="140" w:type="dxa"/>
              <w:bottom w:w="60" w:type="dxa"/>
              <w:right w:w="140" w:type="dxa"/>
            </w:tcMar>
          </w:tcPr>
          <w:p w14:paraId="657F7935" w14:textId="77777777" w:rsidR="00D320B1" w:rsidRDefault="00D320B1" w:rsidP="006C151B">
            <w:pPr>
              <w:jc w:val="center"/>
            </w:pPr>
            <w:r>
              <w:rPr>
                <w:rFonts w:ascii="Arial" w:eastAsia="Arial" w:hAnsi="Arial" w:cs="Arial"/>
                <w:sz w:val="19"/>
                <w:szCs w:val="19"/>
              </w:rPr>
              <w:t>0.57</w:t>
            </w:r>
          </w:p>
        </w:tc>
        <w:tc>
          <w:tcPr>
            <w:tcW w:w="1941" w:type="dxa"/>
            <w:tcBorders>
              <w:top w:val="single" w:sz="4" w:space="0" w:color="BBBBBB"/>
              <w:left w:val="single" w:sz="4" w:space="0" w:color="BBBBBB"/>
              <w:bottom w:val="single" w:sz="4" w:space="0" w:color="BBBBBB"/>
              <w:right w:val="single" w:sz="4" w:space="0" w:color="BBBBBB"/>
            </w:tcBorders>
            <w:shd w:val="clear" w:color="auto" w:fill="FFFFFF"/>
            <w:tcMar>
              <w:top w:w="60" w:type="dxa"/>
              <w:left w:w="140" w:type="dxa"/>
              <w:bottom w:w="60" w:type="dxa"/>
              <w:right w:w="140" w:type="dxa"/>
            </w:tcMar>
          </w:tcPr>
          <w:p w14:paraId="1C95859C" w14:textId="77777777" w:rsidR="00D320B1" w:rsidRDefault="00D320B1" w:rsidP="006C151B">
            <w:pPr>
              <w:jc w:val="right"/>
            </w:pPr>
            <w:r>
              <w:rPr>
                <w:rFonts w:ascii="Arial" w:eastAsia="Arial" w:hAnsi="Arial" w:cs="Arial"/>
                <w:sz w:val="19"/>
                <w:szCs w:val="19"/>
              </w:rPr>
              <w:t>22.6%</w:t>
            </w:r>
          </w:p>
        </w:tc>
        <w:tc>
          <w:tcPr>
            <w:tcW w:w="1154" w:type="dxa"/>
            <w:tcBorders>
              <w:top w:val="single" w:sz="4" w:space="0" w:color="BBBBBB"/>
              <w:left w:val="single" w:sz="4" w:space="0" w:color="BBBBBB"/>
              <w:bottom w:val="single" w:sz="4" w:space="0" w:color="BBBBBB"/>
              <w:right w:val="single" w:sz="4" w:space="0" w:color="BBBBBB"/>
            </w:tcBorders>
            <w:shd w:val="clear" w:color="auto" w:fill="FFFFFF"/>
            <w:tcMar>
              <w:top w:w="60" w:type="dxa"/>
              <w:left w:w="140" w:type="dxa"/>
              <w:bottom w:w="60" w:type="dxa"/>
              <w:right w:w="140" w:type="dxa"/>
            </w:tcMar>
          </w:tcPr>
          <w:p w14:paraId="2F3365AC" w14:textId="77777777" w:rsidR="00D320B1" w:rsidRDefault="00D320B1" w:rsidP="006C151B">
            <w:pPr>
              <w:jc w:val="right"/>
            </w:pPr>
            <w:r>
              <w:rPr>
                <w:rFonts w:ascii="Arial" w:eastAsia="Arial" w:hAnsi="Arial" w:cs="Arial"/>
                <w:sz w:val="19"/>
                <w:szCs w:val="19"/>
              </w:rPr>
              <w:t>77,660</w:t>
            </w:r>
          </w:p>
        </w:tc>
      </w:tr>
      <w:tr w:rsidR="0052709C" w14:paraId="4BCBEDFC" w14:textId="77777777" w:rsidTr="00D320B1">
        <w:trPr>
          <w:trHeight w:val="405"/>
        </w:trPr>
        <w:tc>
          <w:tcPr>
            <w:tcW w:w="3928" w:type="dxa"/>
            <w:tcBorders>
              <w:top w:val="single" w:sz="4" w:space="0" w:color="BBBBBB"/>
              <w:left w:val="single" w:sz="4" w:space="0" w:color="BBBBBB"/>
              <w:bottom w:val="single" w:sz="4" w:space="0" w:color="BBBBBB"/>
              <w:right w:val="single" w:sz="4" w:space="0" w:color="BBBBBB"/>
            </w:tcBorders>
            <w:shd w:val="clear" w:color="auto" w:fill="F2F2F2"/>
            <w:tcMar>
              <w:top w:w="60" w:type="dxa"/>
              <w:left w:w="140" w:type="dxa"/>
              <w:bottom w:w="60" w:type="dxa"/>
              <w:right w:w="140" w:type="dxa"/>
            </w:tcMar>
          </w:tcPr>
          <w:p w14:paraId="1022EAF3" w14:textId="77777777" w:rsidR="00D320B1" w:rsidRDefault="00D320B1" w:rsidP="006C151B">
            <w:r>
              <w:rPr>
                <w:rFonts w:ascii="Arial" w:eastAsia="Arial" w:hAnsi="Arial" w:cs="Arial"/>
                <w:sz w:val="19"/>
                <w:szCs w:val="19"/>
              </w:rPr>
              <w:t>Other Services</w:t>
            </w:r>
          </w:p>
        </w:tc>
        <w:tc>
          <w:tcPr>
            <w:tcW w:w="1895" w:type="dxa"/>
            <w:tcBorders>
              <w:top w:val="single" w:sz="4" w:space="0" w:color="BBBBBB"/>
              <w:left w:val="single" w:sz="4" w:space="0" w:color="BBBBBB"/>
              <w:bottom w:val="single" w:sz="4" w:space="0" w:color="BBBBBB"/>
              <w:right w:val="single" w:sz="4" w:space="0" w:color="BBBBBB"/>
            </w:tcBorders>
            <w:shd w:val="clear" w:color="auto" w:fill="F2F2F2"/>
            <w:tcMar>
              <w:top w:w="60" w:type="dxa"/>
              <w:left w:w="140" w:type="dxa"/>
              <w:bottom w:w="60" w:type="dxa"/>
              <w:right w:w="140" w:type="dxa"/>
            </w:tcMar>
          </w:tcPr>
          <w:p w14:paraId="269C16C3" w14:textId="77777777" w:rsidR="00D320B1" w:rsidRDefault="00D320B1" w:rsidP="006C151B">
            <w:pPr>
              <w:jc w:val="center"/>
            </w:pPr>
            <w:r>
              <w:rPr>
                <w:rFonts w:ascii="Arial" w:eastAsia="Arial" w:hAnsi="Arial" w:cs="Arial"/>
                <w:sz w:val="19"/>
                <w:szCs w:val="19"/>
              </w:rPr>
              <w:t>0.56</w:t>
            </w:r>
          </w:p>
        </w:tc>
        <w:tc>
          <w:tcPr>
            <w:tcW w:w="1941" w:type="dxa"/>
            <w:tcBorders>
              <w:top w:val="single" w:sz="4" w:space="0" w:color="BBBBBB"/>
              <w:left w:val="single" w:sz="4" w:space="0" w:color="BBBBBB"/>
              <w:bottom w:val="single" w:sz="4" w:space="0" w:color="BBBBBB"/>
              <w:right w:val="single" w:sz="4" w:space="0" w:color="BBBBBB"/>
            </w:tcBorders>
            <w:shd w:val="clear" w:color="auto" w:fill="F2F2F2"/>
            <w:tcMar>
              <w:top w:w="60" w:type="dxa"/>
              <w:left w:w="140" w:type="dxa"/>
              <w:bottom w:w="60" w:type="dxa"/>
              <w:right w:w="140" w:type="dxa"/>
            </w:tcMar>
          </w:tcPr>
          <w:p w14:paraId="2ED85588" w14:textId="77777777" w:rsidR="00D320B1" w:rsidRDefault="00D320B1" w:rsidP="006C151B">
            <w:pPr>
              <w:jc w:val="right"/>
            </w:pPr>
            <w:r>
              <w:rPr>
                <w:rFonts w:ascii="Arial" w:eastAsia="Arial" w:hAnsi="Arial" w:cs="Arial"/>
                <w:sz w:val="19"/>
                <w:szCs w:val="19"/>
              </w:rPr>
              <w:t>27.9%</w:t>
            </w:r>
          </w:p>
        </w:tc>
        <w:tc>
          <w:tcPr>
            <w:tcW w:w="1154" w:type="dxa"/>
            <w:tcBorders>
              <w:top w:val="single" w:sz="4" w:space="0" w:color="BBBBBB"/>
              <w:left w:val="single" w:sz="4" w:space="0" w:color="BBBBBB"/>
              <w:bottom w:val="single" w:sz="4" w:space="0" w:color="BBBBBB"/>
              <w:right w:val="single" w:sz="4" w:space="0" w:color="BBBBBB"/>
            </w:tcBorders>
            <w:shd w:val="clear" w:color="auto" w:fill="F2F2F2"/>
            <w:tcMar>
              <w:top w:w="60" w:type="dxa"/>
              <w:left w:w="140" w:type="dxa"/>
              <w:bottom w:w="60" w:type="dxa"/>
              <w:right w:w="140" w:type="dxa"/>
            </w:tcMar>
          </w:tcPr>
          <w:p w14:paraId="3C560A0A" w14:textId="77777777" w:rsidR="00D320B1" w:rsidRDefault="00D320B1" w:rsidP="006C151B">
            <w:pPr>
              <w:jc w:val="right"/>
            </w:pPr>
            <w:r>
              <w:rPr>
                <w:rFonts w:ascii="Arial" w:eastAsia="Arial" w:hAnsi="Arial" w:cs="Arial"/>
                <w:sz w:val="19"/>
                <w:szCs w:val="19"/>
              </w:rPr>
              <w:t>54,748</w:t>
            </w:r>
          </w:p>
        </w:tc>
      </w:tr>
      <w:tr w:rsidR="0052709C" w14:paraId="5656CB69" w14:textId="77777777" w:rsidTr="00D320B1">
        <w:trPr>
          <w:trHeight w:val="405"/>
        </w:trPr>
        <w:tc>
          <w:tcPr>
            <w:tcW w:w="3928" w:type="dxa"/>
            <w:tcBorders>
              <w:top w:val="single" w:sz="4" w:space="0" w:color="BBBBBB"/>
              <w:left w:val="single" w:sz="4" w:space="0" w:color="BBBBBB"/>
              <w:bottom w:val="single" w:sz="4" w:space="0" w:color="BBBBBB"/>
              <w:right w:val="single" w:sz="4" w:space="0" w:color="BBBBBB"/>
            </w:tcBorders>
            <w:shd w:val="clear" w:color="auto" w:fill="FFFFFF"/>
            <w:tcMar>
              <w:top w:w="60" w:type="dxa"/>
              <w:left w:w="140" w:type="dxa"/>
              <w:bottom w:w="60" w:type="dxa"/>
              <w:right w:w="140" w:type="dxa"/>
            </w:tcMar>
          </w:tcPr>
          <w:p w14:paraId="6975B9E8" w14:textId="77777777" w:rsidR="00D320B1" w:rsidRDefault="00D320B1" w:rsidP="006C151B">
            <w:r>
              <w:rPr>
                <w:rFonts w:ascii="Arial" w:eastAsia="Arial" w:hAnsi="Arial" w:cs="Arial"/>
                <w:sz w:val="19"/>
                <w:szCs w:val="19"/>
              </w:rPr>
              <w:t>Manufacturing</w:t>
            </w:r>
          </w:p>
        </w:tc>
        <w:tc>
          <w:tcPr>
            <w:tcW w:w="1895" w:type="dxa"/>
            <w:tcBorders>
              <w:top w:val="single" w:sz="4" w:space="0" w:color="BBBBBB"/>
              <w:left w:val="single" w:sz="4" w:space="0" w:color="BBBBBB"/>
              <w:bottom w:val="single" w:sz="4" w:space="0" w:color="BBBBBB"/>
              <w:right w:val="single" w:sz="4" w:space="0" w:color="BBBBBB"/>
            </w:tcBorders>
            <w:shd w:val="clear" w:color="auto" w:fill="FFFFFF"/>
            <w:tcMar>
              <w:top w:w="60" w:type="dxa"/>
              <w:left w:w="140" w:type="dxa"/>
              <w:bottom w:w="60" w:type="dxa"/>
              <w:right w:w="140" w:type="dxa"/>
            </w:tcMar>
          </w:tcPr>
          <w:p w14:paraId="6469DF8E" w14:textId="77777777" w:rsidR="00D320B1" w:rsidRDefault="00D320B1" w:rsidP="006C151B">
            <w:pPr>
              <w:jc w:val="center"/>
            </w:pPr>
            <w:r>
              <w:rPr>
                <w:rFonts w:ascii="Arial" w:eastAsia="Arial" w:hAnsi="Arial" w:cs="Arial"/>
                <w:sz w:val="19"/>
                <w:szCs w:val="19"/>
              </w:rPr>
              <w:t>0.54</w:t>
            </w:r>
          </w:p>
        </w:tc>
        <w:tc>
          <w:tcPr>
            <w:tcW w:w="1941" w:type="dxa"/>
            <w:tcBorders>
              <w:top w:val="single" w:sz="4" w:space="0" w:color="BBBBBB"/>
              <w:left w:val="single" w:sz="4" w:space="0" w:color="BBBBBB"/>
              <w:bottom w:val="single" w:sz="4" w:space="0" w:color="BBBBBB"/>
              <w:right w:val="single" w:sz="4" w:space="0" w:color="BBBBBB"/>
            </w:tcBorders>
            <w:shd w:val="clear" w:color="auto" w:fill="FFFFFF"/>
            <w:tcMar>
              <w:top w:w="60" w:type="dxa"/>
              <w:left w:w="140" w:type="dxa"/>
              <w:bottom w:w="60" w:type="dxa"/>
              <w:right w:w="140" w:type="dxa"/>
            </w:tcMar>
          </w:tcPr>
          <w:p w14:paraId="6E92DD10" w14:textId="77777777" w:rsidR="00D320B1" w:rsidRDefault="00D320B1" w:rsidP="006C151B">
            <w:pPr>
              <w:jc w:val="right"/>
            </w:pPr>
            <w:r>
              <w:rPr>
                <w:rFonts w:ascii="Arial" w:eastAsia="Arial" w:hAnsi="Arial" w:cs="Arial"/>
                <w:sz w:val="19"/>
                <w:szCs w:val="19"/>
              </w:rPr>
              <w:t>24.8%</w:t>
            </w:r>
          </w:p>
        </w:tc>
        <w:tc>
          <w:tcPr>
            <w:tcW w:w="1154" w:type="dxa"/>
            <w:tcBorders>
              <w:top w:val="single" w:sz="4" w:space="0" w:color="BBBBBB"/>
              <w:left w:val="single" w:sz="4" w:space="0" w:color="BBBBBB"/>
              <w:bottom w:val="single" w:sz="4" w:space="0" w:color="BBBBBB"/>
              <w:right w:val="single" w:sz="4" w:space="0" w:color="BBBBBB"/>
            </w:tcBorders>
            <w:shd w:val="clear" w:color="auto" w:fill="FFFFFF"/>
            <w:tcMar>
              <w:top w:w="60" w:type="dxa"/>
              <w:left w:w="140" w:type="dxa"/>
              <w:bottom w:w="60" w:type="dxa"/>
              <w:right w:w="140" w:type="dxa"/>
            </w:tcMar>
          </w:tcPr>
          <w:p w14:paraId="133794DE" w14:textId="77777777" w:rsidR="00D320B1" w:rsidRDefault="00D320B1" w:rsidP="006C151B">
            <w:pPr>
              <w:jc w:val="right"/>
            </w:pPr>
            <w:r>
              <w:rPr>
                <w:rFonts w:ascii="Arial" w:eastAsia="Arial" w:hAnsi="Arial" w:cs="Arial"/>
                <w:sz w:val="19"/>
                <w:szCs w:val="19"/>
              </w:rPr>
              <w:t>269,432</w:t>
            </w:r>
          </w:p>
        </w:tc>
      </w:tr>
      <w:tr w:rsidR="0052709C" w14:paraId="645166C0" w14:textId="77777777" w:rsidTr="00D320B1">
        <w:trPr>
          <w:trHeight w:val="418"/>
        </w:trPr>
        <w:tc>
          <w:tcPr>
            <w:tcW w:w="3928" w:type="dxa"/>
            <w:tcBorders>
              <w:top w:val="single" w:sz="4" w:space="0" w:color="BBBBBB"/>
              <w:left w:val="single" w:sz="4" w:space="0" w:color="BBBBBB"/>
              <w:bottom w:val="single" w:sz="4" w:space="0" w:color="BBBBBB"/>
              <w:right w:val="single" w:sz="4" w:space="0" w:color="BBBBBB"/>
            </w:tcBorders>
            <w:shd w:val="clear" w:color="auto" w:fill="F2F2F2"/>
            <w:tcMar>
              <w:top w:w="60" w:type="dxa"/>
              <w:left w:w="140" w:type="dxa"/>
              <w:bottom w:w="60" w:type="dxa"/>
              <w:right w:w="140" w:type="dxa"/>
            </w:tcMar>
          </w:tcPr>
          <w:p w14:paraId="5AC64EEA" w14:textId="77777777" w:rsidR="00D320B1" w:rsidRDefault="00D320B1" w:rsidP="006C151B">
            <w:r>
              <w:rPr>
                <w:rFonts w:ascii="Arial" w:eastAsia="Arial" w:hAnsi="Arial" w:cs="Arial"/>
                <w:sz w:val="19"/>
                <w:szCs w:val="19"/>
              </w:rPr>
              <w:t>Utilities</w:t>
            </w:r>
          </w:p>
        </w:tc>
        <w:tc>
          <w:tcPr>
            <w:tcW w:w="1895" w:type="dxa"/>
            <w:tcBorders>
              <w:top w:val="single" w:sz="4" w:space="0" w:color="BBBBBB"/>
              <w:left w:val="single" w:sz="4" w:space="0" w:color="BBBBBB"/>
              <w:bottom w:val="single" w:sz="4" w:space="0" w:color="BBBBBB"/>
              <w:right w:val="single" w:sz="4" w:space="0" w:color="BBBBBB"/>
            </w:tcBorders>
            <w:shd w:val="clear" w:color="auto" w:fill="F2F2F2"/>
            <w:tcMar>
              <w:top w:w="60" w:type="dxa"/>
              <w:left w:w="140" w:type="dxa"/>
              <w:bottom w:w="60" w:type="dxa"/>
              <w:right w:w="140" w:type="dxa"/>
            </w:tcMar>
          </w:tcPr>
          <w:p w14:paraId="04CE43B3" w14:textId="77777777" w:rsidR="00D320B1" w:rsidRDefault="00D320B1" w:rsidP="006C151B">
            <w:pPr>
              <w:jc w:val="center"/>
            </w:pPr>
            <w:r>
              <w:rPr>
                <w:rFonts w:ascii="Arial" w:eastAsia="Arial" w:hAnsi="Arial" w:cs="Arial"/>
                <w:sz w:val="19"/>
                <w:szCs w:val="19"/>
              </w:rPr>
              <w:t>0.52</w:t>
            </w:r>
          </w:p>
        </w:tc>
        <w:tc>
          <w:tcPr>
            <w:tcW w:w="1941" w:type="dxa"/>
            <w:tcBorders>
              <w:top w:val="single" w:sz="4" w:space="0" w:color="BBBBBB"/>
              <w:left w:val="single" w:sz="4" w:space="0" w:color="BBBBBB"/>
              <w:bottom w:val="single" w:sz="4" w:space="0" w:color="BBBBBB"/>
              <w:right w:val="single" w:sz="4" w:space="0" w:color="BBBBBB"/>
            </w:tcBorders>
            <w:shd w:val="clear" w:color="auto" w:fill="F2F2F2"/>
            <w:tcMar>
              <w:top w:w="60" w:type="dxa"/>
              <w:left w:w="140" w:type="dxa"/>
              <w:bottom w:w="60" w:type="dxa"/>
              <w:right w:w="140" w:type="dxa"/>
            </w:tcMar>
          </w:tcPr>
          <w:p w14:paraId="5F006419" w14:textId="77777777" w:rsidR="00D320B1" w:rsidRDefault="00D320B1" w:rsidP="006C151B">
            <w:pPr>
              <w:jc w:val="right"/>
            </w:pPr>
            <w:r>
              <w:rPr>
                <w:rFonts w:ascii="Arial" w:eastAsia="Arial" w:hAnsi="Arial" w:cs="Arial"/>
                <w:sz w:val="19"/>
                <w:szCs w:val="19"/>
              </w:rPr>
              <w:t>16.5%</w:t>
            </w:r>
          </w:p>
        </w:tc>
        <w:tc>
          <w:tcPr>
            <w:tcW w:w="1154" w:type="dxa"/>
            <w:tcBorders>
              <w:top w:val="single" w:sz="4" w:space="0" w:color="BBBBBB"/>
              <w:left w:val="single" w:sz="4" w:space="0" w:color="BBBBBB"/>
              <w:bottom w:val="single" w:sz="4" w:space="0" w:color="BBBBBB"/>
              <w:right w:val="single" w:sz="4" w:space="0" w:color="BBBBBB"/>
            </w:tcBorders>
            <w:shd w:val="clear" w:color="auto" w:fill="F2F2F2"/>
            <w:tcMar>
              <w:top w:w="60" w:type="dxa"/>
              <w:left w:w="140" w:type="dxa"/>
              <w:bottom w:w="60" w:type="dxa"/>
              <w:right w:w="140" w:type="dxa"/>
            </w:tcMar>
          </w:tcPr>
          <w:p w14:paraId="2D0CEF9F" w14:textId="77777777" w:rsidR="00D320B1" w:rsidRDefault="00D320B1" w:rsidP="006C151B">
            <w:pPr>
              <w:jc w:val="right"/>
            </w:pPr>
            <w:r>
              <w:rPr>
                <w:rFonts w:ascii="Arial" w:eastAsia="Arial" w:hAnsi="Arial" w:cs="Arial"/>
                <w:sz w:val="19"/>
                <w:szCs w:val="19"/>
              </w:rPr>
              <w:t>21,710</w:t>
            </w:r>
          </w:p>
        </w:tc>
      </w:tr>
      <w:tr w:rsidR="0052709C" w14:paraId="5950C1FF" w14:textId="77777777" w:rsidTr="00D320B1">
        <w:trPr>
          <w:trHeight w:val="405"/>
        </w:trPr>
        <w:tc>
          <w:tcPr>
            <w:tcW w:w="3928" w:type="dxa"/>
            <w:tcBorders>
              <w:top w:val="single" w:sz="4" w:space="0" w:color="BBBBBB"/>
              <w:left w:val="single" w:sz="4" w:space="0" w:color="BBBBBB"/>
              <w:bottom w:val="single" w:sz="4" w:space="0" w:color="BBBBBB"/>
              <w:right w:val="single" w:sz="4" w:space="0" w:color="BBBBBB"/>
            </w:tcBorders>
            <w:shd w:val="clear" w:color="auto" w:fill="FFFFFF"/>
            <w:tcMar>
              <w:top w:w="60" w:type="dxa"/>
              <w:left w:w="140" w:type="dxa"/>
              <w:bottom w:w="60" w:type="dxa"/>
              <w:right w:w="140" w:type="dxa"/>
            </w:tcMar>
          </w:tcPr>
          <w:p w14:paraId="21DFB23D" w14:textId="77777777" w:rsidR="00D320B1" w:rsidRDefault="00D320B1" w:rsidP="006C151B">
            <w:r>
              <w:rPr>
                <w:rFonts w:ascii="Arial" w:eastAsia="Arial" w:hAnsi="Arial" w:cs="Arial"/>
                <w:sz w:val="19"/>
                <w:szCs w:val="19"/>
              </w:rPr>
              <w:t>Health Care &amp; Social Assistance</w:t>
            </w:r>
          </w:p>
        </w:tc>
        <w:tc>
          <w:tcPr>
            <w:tcW w:w="1895" w:type="dxa"/>
            <w:tcBorders>
              <w:top w:val="single" w:sz="4" w:space="0" w:color="BBBBBB"/>
              <w:left w:val="single" w:sz="4" w:space="0" w:color="BBBBBB"/>
              <w:bottom w:val="single" w:sz="4" w:space="0" w:color="BBBBBB"/>
              <w:right w:val="single" w:sz="4" w:space="0" w:color="BBBBBB"/>
            </w:tcBorders>
            <w:shd w:val="clear" w:color="auto" w:fill="FFFFFF"/>
            <w:tcMar>
              <w:top w:w="60" w:type="dxa"/>
              <w:left w:w="140" w:type="dxa"/>
              <w:bottom w:w="60" w:type="dxa"/>
              <w:right w:w="140" w:type="dxa"/>
            </w:tcMar>
          </w:tcPr>
          <w:p w14:paraId="1DC58383" w14:textId="77777777" w:rsidR="00D320B1" w:rsidRDefault="00D320B1" w:rsidP="006C151B">
            <w:pPr>
              <w:jc w:val="center"/>
            </w:pPr>
            <w:r>
              <w:rPr>
                <w:rFonts w:ascii="Arial" w:eastAsia="Arial" w:hAnsi="Arial" w:cs="Arial"/>
                <w:sz w:val="19"/>
                <w:szCs w:val="19"/>
              </w:rPr>
              <w:t>0.52</w:t>
            </w:r>
          </w:p>
        </w:tc>
        <w:tc>
          <w:tcPr>
            <w:tcW w:w="1941" w:type="dxa"/>
            <w:tcBorders>
              <w:top w:val="single" w:sz="4" w:space="0" w:color="BBBBBB"/>
              <w:left w:val="single" w:sz="4" w:space="0" w:color="BBBBBB"/>
              <w:bottom w:val="single" w:sz="4" w:space="0" w:color="BBBBBB"/>
              <w:right w:val="single" w:sz="4" w:space="0" w:color="BBBBBB"/>
            </w:tcBorders>
            <w:shd w:val="clear" w:color="auto" w:fill="FFFFFF"/>
            <w:tcMar>
              <w:top w:w="60" w:type="dxa"/>
              <w:left w:w="140" w:type="dxa"/>
              <w:bottom w:w="60" w:type="dxa"/>
              <w:right w:w="140" w:type="dxa"/>
            </w:tcMar>
          </w:tcPr>
          <w:p w14:paraId="331A041F" w14:textId="77777777" w:rsidR="00D320B1" w:rsidRDefault="00D320B1" w:rsidP="006C151B">
            <w:pPr>
              <w:jc w:val="right"/>
            </w:pPr>
            <w:r>
              <w:rPr>
                <w:rFonts w:ascii="Arial" w:eastAsia="Arial" w:hAnsi="Arial" w:cs="Arial"/>
                <w:sz w:val="19"/>
                <w:szCs w:val="19"/>
              </w:rPr>
              <w:t>14.5%</w:t>
            </w:r>
          </w:p>
        </w:tc>
        <w:tc>
          <w:tcPr>
            <w:tcW w:w="1154" w:type="dxa"/>
            <w:tcBorders>
              <w:top w:val="single" w:sz="4" w:space="0" w:color="BBBBBB"/>
              <w:left w:val="single" w:sz="4" w:space="0" w:color="BBBBBB"/>
              <w:bottom w:val="single" w:sz="4" w:space="0" w:color="BBBBBB"/>
              <w:right w:val="single" w:sz="4" w:space="0" w:color="BBBBBB"/>
            </w:tcBorders>
            <w:shd w:val="clear" w:color="auto" w:fill="FFFFFF"/>
            <w:tcMar>
              <w:top w:w="60" w:type="dxa"/>
              <w:left w:w="140" w:type="dxa"/>
              <w:bottom w:w="60" w:type="dxa"/>
              <w:right w:w="140" w:type="dxa"/>
            </w:tcMar>
          </w:tcPr>
          <w:p w14:paraId="081CF0DB" w14:textId="77777777" w:rsidR="00D320B1" w:rsidRDefault="00D320B1" w:rsidP="006C151B">
            <w:pPr>
              <w:jc w:val="right"/>
            </w:pPr>
            <w:r>
              <w:rPr>
                <w:rFonts w:ascii="Arial" w:eastAsia="Arial" w:hAnsi="Arial" w:cs="Arial"/>
                <w:sz w:val="19"/>
                <w:szCs w:val="19"/>
              </w:rPr>
              <w:t>266,287</w:t>
            </w:r>
          </w:p>
        </w:tc>
      </w:tr>
    </w:tbl>
    <w:p w14:paraId="789CB30A" w14:textId="77777777" w:rsidR="00D320B1" w:rsidRPr="00565144" w:rsidRDefault="00D320B1" w:rsidP="00565144"/>
    <w:p w14:paraId="6C244EBE" w14:textId="77777777" w:rsidR="00565144" w:rsidRDefault="00565144" w:rsidP="00565144">
      <w:r>
        <w:t>Several sector-MSA combinations represent particularly concentrated pockets of AI exposure. Transportation and warehousing in Nashville and the Other MSA category see over 89% and 94% of their workers respectively in top-quartile high-exposure roles — figures that reflect the dominance of warehousing and delivery work in the employment mix of those areas. Retail in Knoxville (70% high-exposure), wholesale trade in Nashville (80%), and construction statewide all represent large worker populations with little natural protection from automation disruption.</w:t>
      </w:r>
    </w:p>
    <w:p w14:paraId="2E7405EB" w14:textId="77777777" w:rsidR="00CD6C81" w:rsidRPr="00565144" w:rsidRDefault="00CD6C81" w:rsidP="00565144"/>
    <w:p w14:paraId="47EDC8EE" w14:textId="262DB29A" w:rsidR="00565144" w:rsidRPr="00565144" w:rsidRDefault="00CD6C81" w:rsidP="00CD6C81">
      <w:pPr>
        <w:pStyle w:val="Heading4"/>
      </w:pPr>
      <w:r>
        <w:lastRenderedPageBreak/>
        <w:t>AI exposure across demographics</w:t>
      </w:r>
    </w:p>
    <w:p w14:paraId="084240AF" w14:textId="77777777" w:rsidR="00565144" w:rsidRPr="00565144" w:rsidRDefault="00565144" w:rsidP="00565144">
      <w:r>
        <w:t>One of the more striking findings in the AI exposure analysis is how modest the variation is by age group and education level, compared to the variation by sector and occupation. The average automation exposure scores for Tennessee workers aged 25–34, 35–44, 45–54, and 55–64 sit within a range of just 0.01 of each other (0.57 to 0.58). In other words, older workers are not meaningfully more or less exposed to automation than younger workers — what matters far more is what occupation they are in and what sector they work in.</w:t>
      </w:r>
    </w:p>
    <w:p w14:paraId="70B83477" w14:textId="77777777" w:rsidR="00565144" w:rsidRPr="00565144" w:rsidRDefault="00565144" w:rsidP="00565144">
      <w:r>
        <w:t>Education shows more variation, but the pattern is not straightforward. HS diploma and GED holders have the highest share in top-quartile high-exposure occupations (40%), narrowly ahead of workers with less than a high school diploma (39%) and some college (39%), consistent with the concentration of sub-degree workers in manual labor, food preparation, and basic service roles. The differences between some college, bachelor's, and even master's degree holders are smaller than might be expected — reflecting the fact that a significant share of degree-holding workers in Tennessee are, as documented elsewhere in this report, employed in roles below their qualification level, which often means roles in higher-exposure occupational categories.</w:t>
      </w:r>
    </w:p>
    <w:p w14:paraId="65C1B097" w14:textId="77777777" w:rsidR="00565144" w:rsidRDefault="00565144" w:rsidP="00565144">
      <w:r>
        <w:t>The most striking education-level finding on AI exposure involves workers with associate's degrees. While they have a lower proportion in top-quartile high-exposure occupations than sub-degree workers (28%), close to three-fifths (59%) of those associate's-degree holders who are in top-quartile high-exposure occupations are also currently stranded. That combination — employed below qualification level, in an occupation at elevated automation risk — is the most acute form of compound disadvantage in the data.</w:t>
      </w:r>
    </w:p>
    <w:p w14:paraId="4B21EBB5" w14:textId="77777777" w:rsidR="00CD6C81" w:rsidRPr="00565144" w:rsidRDefault="00CD6C81" w:rsidP="00565144"/>
    <w:p w14:paraId="52A07855" w14:textId="77777777" w:rsidR="00565144" w:rsidRPr="00565144" w:rsidRDefault="00565144" w:rsidP="00CD6C81">
      <w:pPr>
        <w:pStyle w:val="Heading4"/>
      </w:pPr>
      <w:r>
        <w:t>The double jeopardy problem</w:t>
      </w:r>
    </w:p>
    <w:p w14:paraId="713528CC" w14:textId="77777777" w:rsidR="00565144" w:rsidRPr="00565144" w:rsidRDefault="00565144" w:rsidP="00565144">
      <w:r>
        <w:t xml:space="preserve">The deepest concern in the AI exposure analysis is the degree to which </w:t>
      </w:r>
      <w:proofErr w:type="spellStart"/>
      <w:r>
        <w:t>strandedness</w:t>
      </w:r>
      <w:proofErr w:type="spellEnd"/>
      <w:r>
        <w:t xml:space="preserve"> and automation risk are co-located. Workers in occupations in the top quartile by automation exposure are stranded at a rate of approximately 40%, against approximately 21% for workers in the lower three quartiles. Put differently, the occupations most at risk from automation are also the occupations where a disproportionate share of workers are already earning below a living wage or working beneath their qualification level. Around 176,000 Tennessee workers — 10% of the entire workforce, and 39% of all stranded Tennesseans — sit in this intersection. This is the population for whom the automation-exposure dimension materially changes the policy question.</w:t>
      </w:r>
    </w:p>
    <w:p w14:paraId="1F6B04BC" w14:textId="77777777" w:rsidR="00565144" w:rsidRPr="00565144" w:rsidRDefault="00565144" w:rsidP="00565144">
      <w:r>
        <w:t xml:space="preserve">The consequence is a population of workers facing what might be called double jeopardy: currently stranded, and in occupations where the risk of further disruption is </w:t>
      </w:r>
      <w:r>
        <w:lastRenderedPageBreak/>
        <w:t>elevated. Across the state, around 176,000 workers — roughly 39% of all stranded Tennesseans — sit in this category. In Memphis, the proportion is the highest of any major geography, at 45% of the MSA's stranded workforce. In Knoxville and Chattanooga, around 39% of stranded workers are in high-exposure occupations.</w:t>
      </w:r>
    </w:p>
    <w:p w14:paraId="67A1660E" w14:textId="2C756613" w:rsidR="00565144" w:rsidRDefault="00565144" w:rsidP="00565144">
      <w:r>
        <w:t xml:space="preserve">This overlap matters for how workforce development resources are prioritized. A program that helps a worker exit </w:t>
      </w:r>
      <w:proofErr w:type="spellStart"/>
      <w:r>
        <w:t>strandedness</w:t>
      </w:r>
      <w:proofErr w:type="spellEnd"/>
      <w:r>
        <w:t xml:space="preserve"> by moving them into a slightly better but still highly automated role has not fully solved the problem — it has deferred it. Conversely, a program that moves a doubly-disadvantaged worker into a low-exposure, high-augmentation occupation like nursing, engineering, or financial advising delivers compounding returns: immediate relief from </w:t>
      </w:r>
      <w:proofErr w:type="spellStart"/>
      <w:r>
        <w:t>strandedness</w:t>
      </w:r>
      <w:proofErr w:type="spellEnd"/>
      <w:r>
        <w:t xml:space="preserve">, and durable insulation from the next wave of labor market disruption. </w:t>
      </w:r>
    </w:p>
    <w:p w14:paraId="39827D79" w14:textId="77777777" w:rsidR="00D635F1" w:rsidRPr="00565144" w:rsidRDefault="00D635F1" w:rsidP="00565144"/>
    <w:p w14:paraId="08360DFE" w14:textId="77777777" w:rsidR="0045340D" w:rsidRPr="0045340D" w:rsidRDefault="0045340D" w:rsidP="00B24F53">
      <w:pPr>
        <w:pStyle w:val="Heading3"/>
      </w:pPr>
      <w:r>
        <w:t>AI Exposure and the Durability of Transition Pathways</w:t>
      </w:r>
    </w:p>
    <w:p w14:paraId="1CC37928" w14:textId="77777777" w:rsidR="0045340D" w:rsidRDefault="0045340D" w:rsidP="0045340D">
      <w:r>
        <w:t xml:space="preserve">Understanding which transition pathways offer durable exits from </w:t>
      </w:r>
      <w:proofErr w:type="spellStart"/>
      <w:r>
        <w:t>strandedness</w:t>
      </w:r>
      <w:proofErr w:type="spellEnd"/>
      <w:r>
        <w:t xml:space="preserve"> requires looking not just at current </w:t>
      </w:r>
      <w:proofErr w:type="spellStart"/>
      <w:r>
        <w:t>strandedness</w:t>
      </w:r>
      <w:proofErr w:type="spellEnd"/>
      <w:r>
        <w:t xml:space="preserve"> rates in destination occupations, but at their exposure to AI-driven disruption. A transition that reduces </w:t>
      </w:r>
      <w:proofErr w:type="spellStart"/>
      <w:r>
        <w:t>strandedness</w:t>
      </w:r>
      <w:proofErr w:type="spellEnd"/>
      <w:r>
        <w:t xml:space="preserve"> today could reproduce it within a decade if it routes workers into occupations where automation is advancing rapidly. The transitions dataset includes two distinct AI exposure scores for every occupation: automation exposure, which reflects the risk of task displacement, and augmentation exposure, which reflects the degree to which AI tools are likely to enhance rather than replace workers in that role. Both matter for assessing how future-proof any given pathway is.</w:t>
      </w:r>
    </w:p>
    <w:p w14:paraId="7F7E8A34" w14:textId="4AE73E33" w:rsidR="0075249E" w:rsidRDefault="0075249E" w:rsidP="0045340D"/>
    <w:p w14:paraId="49597C02" w14:textId="1B3A06B2" w:rsidR="0075249E" w:rsidRPr="0045340D" w:rsidRDefault="0075249E" w:rsidP="0045340D">
      <w:r>
        <w:t>Considering AI exposure has particular relevance to four of our transition types:</w:t>
      </w:r>
    </w:p>
    <w:p w14:paraId="0D6C3A81" w14:textId="77777777" w:rsidR="005F43A7" w:rsidRDefault="005F43A7" w:rsidP="0045340D"/>
    <w:p w14:paraId="5365A19E" w14:textId="2716736B" w:rsidR="0045340D" w:rsidRPr="0045340D" w:rsidRDefault="0045340D" w:rsidP="001E2EDC">
      <w:pPr>
        <w:pStyle w:val="Heading4"/>
      </w:pPr>
      <w:r>
        <w:t>Healthcare Ladder: the most resilient pathway</w:t>
      </w:r>
    </w:p>
    <w:p w14:paraId="7CF605BC" w14:textId="4DBF680A" w:rsidR="0045340D" w:rsidRPr="0045340D" w:rsidRDefault="0045340D" w:rsidP="0045340D">
      <w:r>
        <w:t>The Healthcare Ladder is the standout performer on AI durability. Destination occupations in this type have an average automation exposure score of 0.48 — the lowest of any pathway type and well below the dataset average of 0.57. None of the pathways in this type routes workers into a top-quartile high-exposure destination, and 90% of destinations fall below 0.52 on the automation scale. The only destination that comes close is Pharmacy Technicians at 0.60 — still below the top-quartile threshold. The safest destinations are also the most valued ones: Nurse Practitioners and Nurse Midwives (0.43), Speech-Language Pathologists (0.45), Pharmacists (0.45), and Physician Assistants (0.45) are all in the lower portion of the automation exposure range. These are roles where clinical judgment, patient relationships, and physical presence create strong structural barriers to automation.</w:t>
      </w:r>
    </w:p>
    <w:p w14:paraId="0546E740" w14:textId="45B97745" w:rsidR="0045340D" w:rsidRDefault="0045340D" w:rsidP="0045340D">
      <w:r>
        <w:lastRenderedPageBreak/>
        <w:t xml:space="preserve">The augmentation picture reinforces this. </w:t>
      </w:r>
      <w:r w:rsidR="001E2EDC">
        <w:t>Healthcare Ladder</w:t>
      </w:r>
      <w:r>
        <w:t xml:space="preserve"> destinations have an average augmentation score of 0.59 — meaning workers in these roles are well-positioned to benefit from AI-assisted diagnostics, documentation tools, and clinical decision support rather than be displaced by them. The only modest concern within T1 is Medical Records Specialists (0.58 automation), a more administrative role that sits at the higher end of the type's exposure range. Overall, the combination of high wage gains, large </w:t>
      </w:r>
      <w:proofErr w:type="spellStart"/>
      <w:r>
        <w:t>strandedness</w:t>
      </w:r>
      <w:proofErr w:type="spellEnd"/>
      <w:r>
        <w:t xml:space="preserve"> reductions, and strong AI resilience makes the Healthcare Ladder the most unambiguously strong pathway in the typology.</w:t>
      </w:r>
    </w:p>
    <w:p w14:paraId="337D4232" w14:textId="77777777" w:rsidR="001E2EDC" w:rsidRPr="0045340D" w:rsidRDefault="001E2EDC" w:rsidP="0045340D"/>
    <w:p w14:paraId="601FF6A9" w14:textId="1C1F89B9" w:rsidR="0045340D" w:rsidRPr="0045340D" w:rsidRDefault="0045340D" w:rsidP="001E2EDC">
      <w:pPr>
        <w:pStyle w:val="Heading4"/>
      </w:pPr>
      <w:r>
        <w:t>Technology Pivot: destination choice matters</w:t>
      </w:r>
    </w:p>
    <w:p w14:paraId="45468803" w14:textId="5F412F18" w:rsidR="0045340D" w:rsidRPr="0045340D" w:rsidRDefault="003C6C0D" w:rsidP="0045340D">
      <w:r>
        <w:t xml:space="preserve">AI exposure is particularly worth bearing in mind with regard to </w:t>
      </w:r>
      <w:r w:rsidR="0045340D">
        <w:t xml:space="preserve">Technology Pivot </w:t>
      </w:r>
      <w:r>
        <w:t xml:space="preserve">transitions - </w:t>
      </w:r>
      <w:r w:rsidR="0045340D">
        <w:t xml:space="preserve">the average destination score is identical to the average source score, meaning the pathway </w:t>
      </w:r>
      <w:r w:rsidR="0075249E">
        <w:t>does not in improve</w:t>
      </w:r>
      <w:r w:rsidR="0045340D">
        <w:t xml:space="preserve"> automation risk. However, the augmentation score is the second highest of any pathway type — technology roles are</w:t>
      </w:r>
      <w:r w:rsidR="0075249E">
        <w:t>, as one would expect,</w:t>
      </w:r>
      <w:r w:rsidR="0045340D">
        <w:t xml:space="preserve"> more likely to involve working alongside AI than being replaced by it.</w:t>
      </w:r>
    </w:p>
    <w:p w14:paraId="3DDCB408" w14:textId="4D15A5E5" w:rsidR="0045340D" w:rsidRDefault="0045340D" w:rsidP="0045340D">
      <w:r>
        <w:t xml:space="preserve">That said, there is meaningful variation within the type that makes destination selection important. Software Quality Assurance Analysts and Testers </w:t>
      </w:r>
      <w:r w:rsidR="0075249E">
        <w:t xml:space="preserve">and </w:t>
      </w:r>
      <w:r>
        <w:t xml:space="preserve">Software Developers </w:t>
      </w:r>
      <w:r w:rsidR="0075249E">
        <w:t>are very</w:t>
      </w:r>
      <w:r>
        <w:t xml:space="preserve"> close to </w:t>
      </w:r>
      <w:r w:rsidR="0075249E">
        <w:t>edging into the top quartile (our definition of ‘at-risk’)</w:t>
      </w:r>
      <w:r>
        <w:t>. By contrast, Information Security Analysts and Network and Computer Systems Administrators sit well below. The coding and testing functions that many bootcamp programs teach most readily are also the ones that AI tools like GitHub Copilot and automated testing platforms are advancing into most aggressively. This doesn't make the Technology Pivot a poor pathway, but it does suggest that programs should steer workers toward cybersecurity, network architecture, and data infrastructure roles rather than front-end development or QA, where the automation trajectory is steeper.</w:t>
      </w:r>
    </w:p>
    <w:p w14:paraId="1867C4D0" w14:textId="77777777" w:rsidR="0075249E" w:rsidRPr="0045340D" w:rsidRDefault="0075249E" w:rsidP="0045340D"/>
    <w:p w14:paraId="0223D9E7" w14:textId="77777777" w:rsidR="001E2EDC" w:rsidRPr="0045340D" w:rsidRDefault="001E2EDC" w:rsidP="0045340D"/>
    <w:p w14:paraId="196CF1D1" w14:textId="496985A5" w:rsidR="0045340D" w:rsidRPr="0045340D" w:rsidRDefault="0045340D" w:rsidP="001E2EDC">
      <w:pPr>
        <w:pStyle w:val="Heading4"/>
      </w:pPr>
      <w:r>
        <w:t>Professional and Financial Services: bifurcated, with specific roles to avoid</w:t>
      </w:r>
    </w:p>
    <w:p w14:paraId="0385AE94" w14:textId="15560702" w:rsidR="0045340D" w:rsidRPr="0045340D" w:rsidRDefault="0075249E" w:rsidP="0045340D">
      <w:r>
        <w:t>This</w:t>
      </w:r>
      <w:r w:rsidR="0045340D">
        <w:t xml:space="preserve"> is the most internally divided type on AI exposure</w:t>
      </w:r>
      <w:r>
        <w:t xml:space="preserve">. </w:t>
      </w:r>
      <w:r w:rsidR="0045340D">
        <w:t xml:space="preserve">At one extreme, Personal Financial Advisors </w:t>
      </w:r>
      <w:r>
        <w:t xml:space="preserve">represent </w:t>
      </w:r>
      <w:r w:rsidR="0045340D">
        <w:t>some of the most AI-resilient non-clinical roles in the entire dataset — the trust, judgment, and relationship dimensions of financial advising create meaningful protection against automation even as AI tools take over routine analysis tasks. Financial and Investment Analysts and Compliance Officers are also in a reasonable range.</w:t>
      </w:r>
    </w:p>
    <w:p w14:paraId="3A871A77" w14:textId="2DFE2685" w:rsidR="0045340D" w:rsidRDefault="0045340D" w:rsidP="0045340D">
      <w:r>
        <w:t xml:space="preserve">At the other extreme, Cost Estimators </w:t>
      </w:r>
      <w:r w:rsidR="0075249E">
        <w:t>are</w:t>
      </w:r>
      <w:r>
        <w:t xml:space="preserve"> the highest-exposure destination of any role in any named pathway type — while Claims Adjusters, Compensation and Benefits Specialists, and Market Research Analysts all sit in high-exposure territory. These are </w:t>
      </w:r>
      <w:r>
        <w:lastRenderedPageBreak/>
        <w:t>roles that involve structured data analysis, comparison, and classification — tasks where AI performance is advancing quickly. The 10% of pathways landing in top-quartile high-exposure destinations is a real concern if program design does not actively manage it.</w:t>
      </w:r>
    </w:p>
    <w:p w14:paraId="67F2A807" w14:textId="77777777" w:rsidR="001E2EDC" w:rsidRPr="0045340D" w:rsidRDefault="001E2EDC" w:rsidP="0045340D"/>
    <w:p w14:paraId="6C0F11A2" w14:textId="293B7D70" w:rsidR="0045340D" w:rsidRPr="0045340D" w:rsidRDefault="0045340D" w:rsidP="001E2EDC">
      <w:pPr>
        <w:pStyle w:val="Heading4"/>
      </w:pPr>
      <w:r>
        <w:t>Sales and Commercial: the most significant AI concern in the typology</w:t>
      </w:r>
    </w:p>
    <w:p w14:paraId="19245BDB" w14:textId="7228C88D" w:rsidR="0045340D" w:rsidRPr="0045340D" w:rsidRDefault="0045340D" w:rsidP="0045340D">
      <w:r>
        <w:t xml:space="preserve">The Sales and Commercial pathway </w:t>
      </w:r>
      <w:proofErr w:type="gramStart"/>
      <w:r>
        <w:t>presents</w:t>
      </w:r>
      <w:proofErr w:type="gramEnd"/>
      <w:r>
        <w:t xml:space="preserve"> the starkest AI risk profile. Sixty-seven percent of </w:t>
      </w:r>
      <w:r w:rsidR="0075249E">
        <w:t>these</w:t>
      </w:r>
      <w:r>
        <w:t xml:space="preserve"> pathways land in a top-quartile high-exposure destination, the average automation exposure of T6 destinations is the highest of any named type</w:t>
      </w:r>
      <w:r w:rsidR="00034A6A">
        <w:t>,</w:t>
      </w:r>
      <w:r>
        <w:t xml:space="preserve"> and the pathways in this type increase workers' automation exposure relative to their starting point. This is the only pathway type that materially moves workers toward greater automation exposure rather than away from it. The augmentation score </w:t>
      </w:r>
      <w:r w:rsidR="00034A6A">
        <w:t>for</w:t>
      </w:r>
      <w:r>
        <w:t xml:space="preserve"> destinations is also the lowest of any type, meaning these roles are less likely to benefit from AI tools than to be disrupted by them.</w:t>
      </w:r>
    </w:p>
    <w:p w14:paraId="22E49888" w14:textId="05207D93" w:rsidR="0045340D" w:rsidRPr="0045340D" w:rsidRDefault="0045340D" w:rsidP="0045340D">
      <w:r>
        <w:t>The specific destination roles illustrate the challenge clearly. Sales Representatives of Services, Retail Salespersons, and Sales Representatives in Wholesale and Manufacturing are all high-exposure roles where scripted interactions, lead qualification, and routine prospecting — the entry points into the work — are exactly what conversational AI platforms and CRM automation tools are being built to handle. The most resilient destination in this type, Securities, Commodities, and Financial Services Sales Agents, requires licensing and a degree of relationship complexity that makes it less automatable than commercial sales roles</w:t>
      </w:r>
      <w:r w:rsidR="00034A6A">
        <w:t>.</w:t>
      </w:r>
    </w:p>
    <w:p w14:paraId="36BC672F" w14:textId="5152D112" w:rsidR="0045340D" w:rsidRDefault="0045340D" w:rsidP="0045340D">
      <w:r>
        <w:t>T</w:t>
      </w:r>
      <w:r w:rsidR="00034A6A">
        <w:t>his transition type</w:t>
      </w:r>
      <w:r>
        <w:t xml:space="preserve"> offer</w:t>
      </w:r>
      <w:r w:rsidR="00034A6A">
        <w:t>s</w:t>
      </w:r>
      <w:r>
        <w:t xml:space="preserve"> the highest average </w:t>
      </w:r>
      <w:proofErr w:type="spellStart"/>
      <w:r>
        <w:t>strandedness</w:t>
      </w:r>
      <w:proofErr w:type="spellEnd"/>
      <w:r>
        <w:t xml:space="preserve"> reduction of any pathway (22.1 percentage points), which makes it genuinely valuable for workers who need immediate relief from stranded conditions. But the AI exposure data suggests that relief may be temporary for a significant share of</w:t>
      </w:r>
      <w:r w:rsidR="00034A6A">
        <w:t xml:space="preserve"> these</w:t>
      </w:r>
      <w:r>
        <w:t xml:space="preserve"> workers, particularly those moving into high-volume transactional sales roles. Programs built around this pathway should prioritize the development of skills — relationship management, sector knowledge, complex negotiation — that are durable even as AI automates the more routine elements of sales work. </w:t>
      </w:r>
    </w:p>
    <w:p w14:paraId="2E9C288D" w14:textId="77777777" w:rsidR="00484FEB" w:rsidRDefault="00484FEB" w:rsidP="00484FEB"/>
    <w:p w14:paraId="4406DF77" w14:textId="74A04C00" w:rsidR="00680D1D" w:rsidRDefault="00680D1D" w:rsidP="00704D16">
      <w:pPr>
        <w:pStyle w:val="Heading1"/>
      </w:pPr>
      <w:r>
        <w:t>Policy Implications</w:t>
      </w:r>
    </w:p>
    <w:p w14:paraId="4E5FC0CF" w14:textId="77777777" w:rsidR="00E974FD" w:rsidRDefault="00E974FD" w:rsidP="00E974FD">
      <w:pPr>
        <w:pStyle w:val="Heading3"/>
      </w:pPr>
      <w:r>
        <w:t>Prioritize the workers facing compounding risk</w:t>
      </w:r>
    </w:p>
    <w:p w14:paraId="4A749C57" w14:textId="7684D4FC" w:rsidR="00E974FD" w:rsidRDefault="00E974FD" w:rsidP="00E974FD">
      <w:r>
        <w:t xml:space="preserve">The most urgent priority emerging from this analysis is the approximately 176,000 Tennessee workers who are both currently stranded and employed in occupations with elevated automation exposure — roughly two-fifths of the state’s entire stranded </w:t>
      </w:r>
      <w:r>
        <w:lastRenderedPageBreak/>
        <w:t xml:space="preserve">workforce. These workers face a double disadvantage: immediate wage or qualification </w:t>
      </w:r>
      <w:proofErr w:type="spellStart"/>
      <w:r>
        <w:t>strandedness</w:t>
      </w:r>
      <w:proofErr w:type="spellEnd"/>
      <w:r>
        <w:t xml:space="preserve"> today, and an elevated risk of further disruption as AI and automation tools advance into the roles they currently occupy. For these workers, simply moving to a less-stranded occupation in the same exposure bracket is not enough. Workforce development investment that reaches this population should be explicitly targeted at transition pathways that reduce both </w:t>
      </w:r>
      <w:proofErr w:type="spellStart"/>
      <w:r>
        <w:t>strandedness</w:t>
      </w:r>
      <w:proofErr w:type="spellEnd"/>
      <w:r>
        <w:t xml:space="preserve"> and long-term automation risk simultaneously. The Healthcare Ladder and Skilled Trades Advancement pathways are the clearest examples: they offer meaningful wage gains, substantial </w:t>
      </w:r>
      <w:proofErr w:type="spellStart"/>
      <w:r>
        <w:t>strandedness</w:t>
      </w:r>
      <w:proofErr w:type="spellEnd"/>
      <w:r>
        <w:t xml:space="preserve"> reduction, and destination occupations that score among the lowest on automation exposure.</w:t>
      </w:r>
    </w:p>
    <w:p w14:paraId="4F388FA2" w14:textId="77777777" w:rsidR="008004C7" w:rsidRDefault="008004C7" w:rsidP="00E974FD"/>
    <w:p w14:paraId="769E98F5" w14:textId="77777777" w:rsidR="00E974FD" w:rsidRDefault="00E974FD" w:rsidP="00E974FD">
      <w:pPr>
        <w:pStyle w:val="Heading3"/>
      </w:pPr>
      <w:r>
        <w:t>Invest in high-durability pathways proportionate to their long-term value</w:t>
      </w:r>
    </w:p>
    <w:p w14:paraId="3D5EE9A9" w14:textId="713BAC12" w:rsidR="00E974FD" w:rsidRDefault="00E974FD" w:rsidP="00E974FD">
      <w:r>
        <w:t xml:space="preserve">The typology analysis identifies clear differences in the long-term durability of transition pathways when AI risk is factored in. Healthcare Ladder workers moving upward through clinical credentialing into nursing, advanced practice, and pharmacy roles is the most compelling investment in the typology on almost every dimension: the highest average wage gain ($54,797), a substantial </w:t>
      </w:r>
      <w:proofErr w:type="spellStart"/>
      <w:r>
        <w:t>strandedness</w:t>
      </w:r>
      <w:proofErr w:type="spellEnd"/>
      <w:r>
        <w:t xml:space="preserve"> reduction, and the lowest automation exposure of any pathway type. The critical barrier is not program infrastructure, which already exists in Tennessee’s community college LPN-to-RN and bridge programs, but income support during the transition period. Workers in these pathways typically hold full-time clinical positions and cannot reduce working hours without financial support. Expanding access to income bridges, childcare, and transportation support for workers enrolled in clinical bridge programs would directly unlock this pathway at scale.</w:t>
      </w:r>
    </w:p>
    <w:p w14:paraId="7D36DF91" w14:textId="46805AD2" w:rsidR="00E974FD" w:rsidRDefault="00E974FD" w:rsidP="00E974FD">
      <w:r>
        <w:t>Skilled Trades Advancement, which routes workers from construction and manufacturing into engineering and technical management, has the second-highest average wage gain and strong AI resilience, but requires a longer credential investment — typically a two- to four-year engineering qualification. Degree apprenticeship models, in which workers earn while completing their qualification part-time, are the most viable format. Tennessee Colleges of Applied Technology already serve as natural feeder institutions for this pathway and could be strengthened in that role.</w:t>
      </w:r>
    </w:p>
    <w:p w14:paraId="3D2BC273" w14:textId="77777777" w:rsidR="00E974FD" w:rsidRDefault="00E974FD" w:rsidP="00E974FD">
      <w:pPr>
        <w:pStyle w:val="Heading3"/>
      </w:pPr>
      <w:r>
        <w:t>Design programs around AI-resilient destinations within each pathway</w:t>
      </w:r>
    </w:p>
    <w:p w14:paraId="52CF8A85" w14:textId="75B19FAE" w:rsidR="00E974FD" w:rsidRDefault="00E974FD" w:rsidP="00E974FD">
      <w:r>
        <w:t>For the Technology Pivot, Project and Operations Management, and Professional and Financial Services pathways, the overall AI exposure profile is manageable, but the specific destination occupations targeted by program design matter significantly. Within T</w:t>
      </w:r>
      <w:r w:rsidR="008004C7">
        <w:t>echnology pivot transitions</w:t>
      </w:r>
      <w:r>
        <w:t xml:space="preserve">, cybersecurity, network architecture, and data infrastructure roles have materially lower automation exposure than software quality assurance or front-end development — the roles most commonly emphasized in </w:t>
      </w:r>
      <w:r>
        <w:lastRenderedPageBreak/>
        <w:t xml:space="preserve">standard bootcamp curricula. Within </w:t>
      </w:r>
      <w:r w:rsidR="008004C7">
        <w:t>Project and Operations Management</w:t>
      </w:r>
      <w:r>
        <w:t xml:space="preserve">, industrial engineering and project management specialist roles carry lower risk than management analyst positions, which are directly in the path of AI-driven analytical tools. Within </w:t>
      </w:r>
      <w:r w:rsidR="008004C7">
        <w:t>Professional and Financial Services</w:t>
      </w:r>
      <w:r>
        <w:t>, financial advising, HR, and compliance roles are substantially more resilient than cost estimation and claims adjustment. Programs in each of these pathway types should actively steer curriculum and employer partnerships toward the more resilient destination roles rather than defaulting to whichever destinations are most immediately accessible.</w:t>
      </w:r>
    </w:p>
    <w:p w14:paraId="7F01FADC" w14:textId="3239981C" w:rsidR="00E974FD" w:rsidRDefault="00E974FD" w:rsidP="00E974FD">
      <w:r>
        <w:t xml:space="preserve">The Sales and Commercial pathway </w:t>
      </w:r>
      <w:proofErr w:type="gramStart"/>
      <w:r>
        <w:t>requires</w:t>
      </w:r>
      <w:proofErr w:type="gramEnd"/>
      <w:r>
        <w:t xml:space="preserve"> the most significant redesign in light of AI exposure. It currently delivers the largest </w:t>
      </w:r>
      <w:proofErr w:type="spellStart"/>
      <w:r>
        <w:t>strandedness</w:t>
      </w:r>
      <w:proofErr w:type="spellEnd"/>
      <w:r>
        <w:t xml:space="preserve"> reduction of any type</w:t>
      </w:r>
      <w:r w:rsidR="005611C9">
        <w:t>,</w:t>
      </w:r>
      <w:r>
        <w:t xml:space="preserve"> but routes the majority of workers into roles where automated CRM tools, voice agents, and sales automation platforms are advancing most rapidly. Programs should shift emphasis from transactional sales skills toward the relationship management, complex negotiation, and sector-specific knowledge components of commercial work that are durable even as routine prospecting and lead qualification are automated. Employer-led sales development programs and earn-while-you-learn sales development representative roles are the right format — but the curriculum within them needs to be built for the medium term, not just for immediate placement.</w:t>
      </w:r>
    </w:p>
    <w:p w14:paraId="51F5F59A" w14:textId="77777777" w:rsidR="005611C9" w:rsidRDefault="005611C9" w:rsidP="00E974FD"/>
    <w:p w14:paraId="0A01D55E" w14:textId="459089BD" w:rsidR="00E974FD" w:rsidRDefault="00E974FD" w:rsidP="00E974FD">
      <w:pPr>
        <w:pStyle w:val="Heading3"/>
      </w:pPr>
      <w:r>
        <w:t>Remove</w:t>
      </w:r>
      <w:r w:rsidR="005611C9">
        <w:t xml:space="preserve"> or reduce</w:t>
      </w:r>
      <w:r>
        <w:t xml:space="preserve"> income as a barrier to transition </w:t>
      </w:r>
    </w:p>
    <w:p w14:paraId="03632BFA" w14:textId="72B30C08" w:rsidR="00E974FD" w:rsidRDefault="00E974FD" w:rsidP="00E974FD">
      <w:r>
        <w:t>Income support during the transition period is the single most commonly cited barrier across all pathway types in the analysis. Workers in stranded occupations are, by definition, not earning enough to absorb the income loss that credential acquisition typically requires. The Clinical Bridge programs that enable LPN-to-RN transitions, the certifications that enable transitions</w:t>
      </w:r>
      <w:r w:rsidR="005611C9">
        <w:t xml:space="preserve"> into tech and operations management roles</w:t>
      </w:r>
      <w:r>
        <w:t xml:space="preserve">, and the associate-to-bachelor completions that would address associate degree underemployment all share a common structural problem: they require time away from full earnings, and most workers in stranded conditions do not have financial reserves to absorb that cost. </w:t>
      </w:r>
      <w:r w:rsidR="005611C9">
        <w:t>An</w:t>
      </w:r>
      <w:r>
        <w:t xml:space="preserve"> effective policy response co</w:t>
      </w:r>
      <w:r w:rsidR="005611C9">
        <w:t>uld co</w:t>
      </w:r>
      <w:r>
        <w:t xml:space="preserve">mbine three elements: </w:t>
      </w:r>
      <w:r w:rsidR="005611C9">
        <w:t>navigating</w:t>
      </w:r>
      <w:r>
        <w:t xml:space="preserve"> access to</w:t>
      </w:r>
      <w:r w:rsidR="005611C9">
        <w:t xml:space="preserve"> Workforce</w:t>
      </w:r>
      <w:r>
        <w:t xml:space="preserve"> Pell Grants and </w:t>
      </w:r>
      <w:r w:rsidR="005611C9">
        <w:t xml:space="preserve">expanding </w:t>
      </w:r>
      <w:r>
        <w:t>state financial aid for short-cycle credential programs; employer co-investment in upskilling through direct tuition support or paid study time; and income bridges, administered through the workforce development system, for workers in transition who cannot sustain current living costs on reduced working hours.</w:t>
      </w:r>
    </w:p>
    <w:p w14:paraId="579B2DEB" w14:textId="77777777" w:rsidR="005611C9" w:rsidRDefault="005611C9" w:rsidP="00E974FD"/>
    <w:p w14:paraId="0E9ACB79" w14:textId="77777777" w:rsidR="00E974FD" w:rsidRDefault="00E974FD" w:rsidP="00E974FD">
      <w:pPr>
        <w:pStyle w:val="Heading3"/>
      </w:pPr>
      <w:r>
        <w:t>Tailor the geographic response to the specific problem in each market</w:t>
      </w:r>
    </w:p>
    <w:p w14:paraId="637C9687" w14:textId="77777777" w:rsidR="00E974FD" w:rsidRDefault="00E974FD" w:rsidP="00E974FD">
      <w:r>
        <w:t xml:space="preserve">The geographic analysis makes clear that </w:t>
      </w:r>
      <w:proofErr w:type="spellStart"/>
      <w:r>
        <w:t>strandedness</w:t>
      </w:r>
      <w:proofErr w:type="spellEnd"/>
      <w:r>
        <w:t xml:space="preserve"> in Tennessee is not a single problem requiring a single solution. Memphis faces a structural deficit in professional-</w:t>
      </w:r>
      <w:r>
        <w:lastRenderedPageBreak/>
        <w:t>level employer demand — the city’s graduate-credentialled workforce is trapped in roles below its qualification level not because of credential failure but because the employer base does not generate enough professional-tier positions. Workforce development investment alone will not resolve this; it needs to be paired with economic development strategies that attract or grow employers in professional, technical, and managerial sectors. In the near term, remote and hybrid work pathways that connect Memphis workers to professional roles in Nashville and other markets offer a more immediate partial solution.</w:t>
      </w:r>
    </w:p>
    <w:p w14:paraId="3DA7B460" w14:textId="77777777" w:rsidR="00E974FD" w:rsidRDefault="00E974FD" w:rsidP="00E974FD">
      <w:r>
        <w:t xml:space="preserve">Rural Tennessee presents a different version of the same underlying problem: workers are available and often qualified, but the local employer base cannot absorb them at the credential level they hold. Degree holders in rural areas face </w:t>
      </w:r>
      <w:proofErr w:type="spellStart"/>
      <w:r>
        <w:t>strandedness</w:t>
      </w:r>
      <w:proofErr w:type="spellEnd"/>
      <w:r>
        <w:t xml:space="preserve"> rates significantly above urban norms — not because their credentials are wrong but because there are not enough roles that require them locally. Priority interventions in rural areas include remote work infrastructure, support for rural employer development in healthcare and professional services, and transportation or relocation support for workers seeking opportunities in larger markets.</w:t>
      </w:r>
    </w:p>
    <w:p w14:paraId="65BF9FF6" w14:textId="77777777" w:rsidR="00E974FD" w:rsidRDefault="00E974FD" w:rsidP="00E974FD">
      <w:r>
        <w:t>Knoxville does not stand out on overall career stalling rates, but its concentration of higher education employers warrants direct engagement on career ladder design. Large institutional employers — universities, hospital systems, state agencies — tend to create flat career structures with limited internal progression for non-faculty and front-line staff regardless of geography, and addressing this is an employer-behaviour rather than a worker-supply problem. Institutional employers should be engaged directly on career ladder design and internal progression pathways as part of any regional workforce strategy.</w:t>
      </w:r>
    </w:p>
    <w:p w14:paraId="1F015B66" w14:textId="77777777" w:rsidR="005611C9" w:rsidRDefault="005611C9" w:rsidP="00E974FD"/>
    <w:p w14:paraId="03689F73" w14:textId="77777777" w:rsidR="00E974FD" w:rsidRDefault="00E974FD" w:rsidP="00E974FD">
      <w:pPr>
        <w:pStyle w:val="Heading3"/>
      </w:pPr>
      <w:r>
        <w:t>Engage employers as active partners in pathway delivery</w:t>
      </w:r>
    </w:p>
    <w:p w14:paraId="5FB9B4A6" w14:textId="1BA9617A" w:rsidR="00E974FD" w:rsidRDefault="00E974FD" w:rsidP="00E974FD">
      <w:r>
        <w:t xml:space="preserve">Several of the most effective </w:t>
      </w:r>
      <w:proofErr w:type="spellStart"/>
      <w:r>
        <w:t>destranding</w:t>
      </w:r>
      <w:proofErr w:type="spellEnd"/>
      <w:r>
        <w:t xml:space="preserve"> pathways depend heavily on employer </w:t>
      </w:r>
      <w:proofErr w:type="spellStart"/>
      <w:r>
        <w:t>behavior</w:t>
      </w:r>
      <w:proofErr w:type="spellEnd"/>
      <w:r>
        <w:t xml:space="preserve">, not just on what workers do. The Project and Operations Management pathway relies on employers actively hiring credential-holders from non-traditional sector backgrounds — which they currently do not do consistently, defaulting instead to candidates with sector-specific experience. The Sales and Commercial pathway </w:t>
      </w:r>
      <w:proofErr w:type="gramStart"/>
      <w:r>
        <w:t>is</w:t>
      </w:r>
      <w:proofErr w:type="gramEnd"/>
      <w:r>
        <w:t xml:space="preserve"> most effective when delivered through employer-sponsored sales development roles rather than pre-employment training. The TA-to-teacher pathway requires institutions to recognize and credit classroom experience toward licensure rather than requiring the full conventional credentialing sequence from scratch.</w:t>
      </w:r>
    </w:p>
    <w:p w14:paraId="72543525" w14:textId="77777777" w:rsidR="00E974FD" w:rsidRDefault="00E974FD" w:rsidP="00E974FD">
      <w:r>
        <w:t xml:space="preserve">Tennessee’s workforce development system should build an explicit employer engagement function into its stranded worker strategy — one that goes beyond job placement facilitation to include credential recognition advocacy, earn-while-you-learn </w:t>
      </w:r>
      <w:r>
        <w:lastRenderedPageBreak/>
        <w:t>program design with employer partners, and active engagement with large institutional employers (healthcare systems, logistics companies, higher education institutions) on internal progression pathway design.</w:t>
      </w:r>
    </w:p>
    <w:p w14:paraId="2387BB6A" w14:textId="77777777" w:rsidR="00E974FD" w:rsidRDefault="00E974FD" w:rsidP="00E974FD">
      <w:pPr>
        <w:pStyle w:val="Heading3"/>
      </w:pPr>
      <w:r>
        <w:t>Build AI literacy into every transition program</w:t>
      </w:r>
    </w:p>
    <w:p w14:paraId="292D856F" w14:textId="3203BEE3" w:rsidR="00E974FD" w:rsidRDefault="00E974FD" w:rsidP="00E974FD">
      <w:r>
        <w:t>Given the scale of automation exposure across Tennessee’s workforce</w:t>
      </w:r>
      <w:r w:rsidR="005611C9">
        <w:t>,</w:t>
      </w:r>
      <w:r>
        <w:t xml:space="preserve"> AI literacy should be treated as a foundational component of workforce development rather than a specialist add-on. Workers moving into roles in healthcare, project management, technology, and financial services will increasingly be expected to use AI-assisted tools as a normal part of the job. Programs that do not equip workers to do this are delivering an incomplete transition. This does not require deep technical training in all cases; for most workers, the relevant skills are understanding what AI tools can and cannot do reliably, knowing when to apply and when to override AI-generated outputs, and being able to communicate about AI-assisted work to employers and colleagues. These are teachable in short modules that can be embedded across all pathway types.</w:t>
      </w:r>
    </w:p>
    <w:p w14:paraId="5D58EF94" w14:textId="77777777" w:rsidR="00704D16" w:rsidRDefault="00704D16">
      <w:pPr>
        <w:rPr>
          <w:rFonts w:asciiTheme="majorHAnsi" w:eastAsiaTheme="majorEastAsia" w:hAnsiTheme="majorHAnsi" w:cstheme="majorBidi"/>
          <w:color w:val="0F4761" w:themeColor="accent1" w:themeShade="BF"/>
          <w:sz w:val="32"/>
          <w:szCs w:val="32"/>
        </w:rPr>
      </w:pPr>
      <w:r>
        <w:br w:type="page"/>
      </w:r>
    </w:p>
    <w:p w14:paraId="6B3F2F9E" w14:textId="12E103BC" w:rsidR="00704D16" w:rsidRDefault="00704D16" w:rsidP="00704D16">
      <w:pPr>
        <w:pStyle w:val="Heading1"/>
      </w:pPr>
      <w:r>
        <w:lastRenderedPageBreak/>
        <w:t>Conclusion</w:t>
      </w:r>
    </w:p>
    <w:p w14:paraId="7212B01D" w14:textId="77777777" w:rsidR="00704D16" w:rsidRDefault="00704D16" w:rsidP="00704D16">
      <w:proofErr w:type="spellStart"/>
      <w:r>
        <w:t>Strandedness</w:t>
      </w:r>
      <w:proofErr w:type="spellEnd"/>
      <w:r>
        <w:t xml:space="preserve"> in Tennessee is not a problem at the margins. One in four working Tennesseans — roughly 452,000 people — is trapped in employment that does not pay a living wage, does not reflect their qualifications, or offers no meaningful path forward. That is not a small cohort of workers who fell through the cracks. It is a structural feature of the state’s labor market, concentrated in specific sectors, geographies, and occupational clusters in ways that are neither random nor inevitable.</w:t>
      </w:r>
    </w:p>
    <w:p w14:paraId="51FB4225" w14:textId="78A00210" w:rsidR="00704D16" w:rsidRDefault="00704D16" w:rsidP="00704D16">
      <w:r>
        <w:t xml:space="preserve">The picture this analysis reveals is one of mismatches rather than deficits. The most stranded workers are not, in general, workers without skills or without effort. They are workers whose qualifications do not align with available employer demand in their region; workers whose sectors do not offer progression infrastructure; workers whose credentials open some doors but not the ones that lead anywhere. The associate’s degree holder </w:t>
      </w:r>
      <w:r w:rsidR="00FE5C93">
        <w:t>struggling to find a role that utilizes their skills</w:t>
      </w:r>
      <w:r>
        <w:t>, the rural bachelor’s degree holder stranded not because of their credentials but because their local economy cannot use them — these patterns are not individual failures. They are system design problems.</w:t>
      </w:r>
    </w:p>
    <w:p w14:paraId="2F2557CA" w14:textId="670B305C" w:rsidR="00704D16" w:rsidRDefault="00704D16" w:rsidP="00FE5C93">
      <w:r>
        <w:t xml:space="preserve">The transition pathways analysis offers a more optimistic counterpoint: the routes out of </w:t>
      </w:r>
      <w:proofErr w:type="spellStart"/>
      <w:r>
        <w:t>strandedness</w:t>
      </w:r>
      <w:proofErr w:type="spellEnd"/>
      <w:r>
        <w:t xml:space="preserve"> are real, empirically observed, and in many cases reachable from where stranded workers currently are. The Healthcare Ladder, the Technology Pivot, the Project and Operations Management pathway — these are not aspirational archetypes. They are patterns drawn from </w:t>
      </w:r>
      <w:r w:rsidR="00FE5C93">
        <w:t>observed, real-life career moves and concrete skill similarities, relevant to identifiable Tennesseans who have been left stranded</w:t>
      </w:r>
      <w:r>
        <w:t>. The credential requirements are known. The employer demand is documented. The community college and TCAT infrastructure needed to support the most important pathways already exists in the state.</w:t>
      </w:r>
    </w:p>
    <w:p w14:paraId="46A5ABC3" w14:textId="77777777" w:rsidR="00704D16" w:rsidRDefault="00704D16" w:rsidP="00704D16">
      <w:r>
        <w:t xml:space="preserve">What the analysis also makes clear is that the window for action is not unlimited. Around two in five of Tennessee’s stranded workers are in occupations that face elevated automation exposure. For these workers, the question is not just how to exit </w:t>
      </w:r>
      <w:proofErr w:type="spellStart"/>
      <w:r>
        <w:t>strandedness</w:t>
      </w:r>
      <w:proofErr w:type="spellEnd"/>
      <w:r>
        <w:t xml:space="preserve"> in the current labor market, but how to build employment security in a labor market that will look meaningfully different within a decade. The transition pathways that answer both questions simultaneously — that reduce </w:t>
      </w:r>
      <w:proofErr w:type="spellStart"/>
      <w:r>
        <w:t>strandedness</w:t>
      </w:r>
      <w:proofErr w:type="spellEnd"/>
      <w:r>
        <w:t xml:space="preserve"> now and route workers into roles with genuine long-term resilience — are the ones that deserve the greatest investment and the most deliberate program design.</w:t>
      </w:r>
    </w:p>
    <w:p w14:paraId="641C76CF" w14:textId="36882155" w:rsidR="00013FF8" w:rsidRPr="00013FF8" w:rsidRDefault="00704D16" w:rsidP="00013FF8">
      <w:r>
        <w:t xml:space="preserve">Tennessee has the data, the infrastructure, and the scale of need to build a workforce development response that is more targeted, more durable, and more consequential than what currently exists. The urgency of the problem — 452,000 stranded workers, around two in five of them facing compounding AI risk — </w:t>
      </w:r>
      <w:r w:rsidR="00FE5C93">
        <w:t>deserves a correspondingly ambitious response.</w:t>
      </w:r>
    </w:p>
    <w:sectPr w:rsidR="00013FF8" w:rsidRPr="00013FF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517824"/>
    <w:multiLevelType w:val="hybridMultilevel"/>
    <w:tmpl w:val="7A1639F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4B430492"/>
    <w:multiLevelType w:val="hybridMultilevel"/>
    <w:tmpl w:val="190ADA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5EFB7F9B"/>
    <w:multiLevelType w:val="hybridMultilevel"/>
    <w:tmpl w:val="69764A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65E13372"/>
    <w:multiLevelType w:val="hybridMultilevel"/>
    <w:tmpl w:val="268404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747B58FE"/>
    <w:multiLevelType w:val="hybridMultilevel"/>
    <w:tmpl w:val="C4E07FF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971400202">
    <w:abstractNumId w:val="4"/>
  </w:num>
  <w:num w:numId="2" w16cid:durableId="316887501">
    <w:abstractNumId w:val="3"/>
  </w:num>
  <w:num w:numId="3" w16cid:durableId="1816290672">
    <w:abstractNumId w:val="0"/>
  </w:num>
  <w:num w:numId="4" w16cid:durableId="967320779">
    <w:abstractNumId w:val="1"/>
  </w:num>
  <w:num w:numId="5" w16cid:durableId="2787302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3F20"/>
    <w:rsid w:val="00000AC2"/>
    <w:rsid w:val="00013D53"/>
    <w:rsid w:val="00013FF8"/>
    <w:rsid w:val="00034A6A"/>
    <w:rsid w:val="000464A2"/>
    <w:rsid w:val="000A0FDA"/>
    <w:rsid w:val="000D61FE"/>
    <w:rsid w:val="001177DD"/>
    <w:rsid w:val="00130C3F"/>
    <w:rsid w:val="0017757A"/>
    <w:rsid w:val="00180D8F"/>
    <w:rsid w:val="00192FC9"/>
    <w:rsid w:val="001B2DA2"/>
    <w:rsid w:val="001E2EDC"/>
    <w:rsid w:val="00204AA6"/>
    <w:rsid w:val="00225BEB"/>
    <w:rsid w:val="002829D2"/>
    <w:rsid w:val="002A2E4A"/>
    <w:rsid w:val="002D2440"/>
    <w:rsid w:val="002D3A50"/>
    <w:rsid w:val="002D7D1A"/>
    <w:rsid w:val="003502BF"/>
    <w:rsid w:val="00366A3B"/>
    <w:rsid w:val="00393CA8"/>
    <w:rsid w:val="00396D00"/>
    <w:rsid w:val="003C14A5"/>
    <w:rsid w:val="003C6C0D"/>
    <w:rsid w:val="003D46B4"/>
    <w:rsid w:val="003E0FEB"/>
    <w:rsid w:val="003F6671"/>
    <w:rsid w:val="00401D7E"/>
    <w:rsid w:val="00402AF7"/>
    <w:rsid w:val="0045340D"/>
    <w:rsid w:val="00473B4F"/>
    <w:rsid w:val="00484FEB"/>
    <w:rsid w:val="00496F61"/>
    <w:rsid w:val="004A6669"/>
    <w:rsid w:val="0052709C"/>
    <w:rsid w:val="0055738D"/>
    <w:rsid w:val="005611C9"/>
    <w:rsid w:val="00564E3D"/>
    <w:rsid w:val="00565144"/>
    <w:rsid w:val="005822A1"/>
    <w:rsid w:val="005B548C"/>
    <w:rsid w:val="005C40D3"/>
    <w:rsid w:val="005F3158"/>
    <w:rsid w:val="005F43A7"/>
    <w:rsid w:val="00680D1D"/>
    <w:rsid w:val="00692B8C"/>
    <w:rsid w:val="006C151B"/>
    <w:rsid w:val="006F3CDE"/>
    <w:rsid w:val="006F7FA4"/>
    <w:rsid w:val="00704D16"/>
    <w:rsid w:val="00713A54"/>
    <w:rsid w:val="007153C9"/>
    <w:rsid w:val="007407DE"/>
    <w:rsid w:val="0075249E"/>
    <w:rsid w:val="007B3DDC"/>
    <w:rsid w:val="007D319B"/>
    <w:rsid w:val="007E006B"/>
    <w:rsid w:val="008004C7"/>
    <w:rsid w:val="00813815"/>
    <w:rsid w:val="00847486"/>
    <w:rsid w:val="00867B6C"/>
    <w:rsid w:val="008B3DE6"/>
    <w:rsid w:val="008D1B09"/>
    <w:rsid w:val="009059C2"/>
    <w:rsid w:val="009157D7"/>
    <w:rsid w:val="00962AAB"/>
    <w:rsid w:val="00A13E81"/>
    <w:rsid w:val="00A62679"/>
    <w:rsid w:val="00A67470"/>
    <w:rsid w:val="00A81516"/>
    <w:rsid w:val="00AA1D7A"/>
    <w:rsid w:val="00AC673A"/>
    <w:rsid w:val="00AF040F"/>
    <w:rsid w:val="00B10381"/>
    <w:rsid w:val="00B24F53"/>
    <w:rsid w:val="00B37FC2"/>
    <w:rsid w:val="00B433FD"/>
    <w:rsid w:val="00B83D91"/>
    <w:rsid w:val="00BD781A"/>
    <w:rsid w:val="00BE1DB6"/>
    <w:rsid w:val="00BE7AB4"/>
    <w:rsid w:val="00C43FE1"/>
    <w:rsid w:val="00C64544"/>
    <w:rsid w:val="00C7692B"/>
    <w:rsid w:val="00C86A17"/>
    <w:rsid w:val="00CB0E19"/>
    <w:rsid w:val="00CD6C81"/>
    <w:rsid w:val="00CF5664"/>
    <w:rsid w:val="00D22CB5"/>
    <w:rsid w:val="00D320B1"/>
    <w:rsid w:val="00D46DDA"/>
    <w:rsid w:val="00D635F1"/>
    <w:rsid w:val="00DA3C8E"/>
    <w:rsid w:val="00DA4498"/>
    <w:rsid w:val="00DB4010"/>
    <w:rsid w:val="00DE2DEE"/>
    <w:rsid w:val="00E37C1E"/>
    <w:rsid w:val="00E6728C"/>
    <w:rsid w:val="00E90AC9"/>
    <w:rsid w:val="00E974FD"/>
    <w:rsid w:val="00EC72B1"/>
    <w:rsid w:val="00EF78E1"/>
    <w:rsid w:val="00F0143C"/>
    <w:rsid w:val="00F3249F"/>
    <w:rsid w:val="00F33F20"/>
    <w:rsid w:val="00F413AD"/>
    <w:rsid w:val="00FC4211"/>
    <w:rsid w:val="00FD6629"/>
    <w:rsid w:val="00FE5C93"/>
    <w:rsid w:val="0310A744"/>
    <w:rsid w:val="080DC302"/>
    <w:rsid w:val="08E620EC"/>
    <w:rsid w:val="0F65F1F5"/>
    <w:rsid w:val="1376CD87"/>
    <w:rsid w:val="147F5B0D"/>
    <w:rsid w:val="1FE8C86A"/>
    <w:rsid w:val="2004B3D4"/>
    <w:rsid w:val="2E3C2FCA"/>
    <w:rsid w:val="2E6AC5D0"/>
    <w:rsid w:val="304837CC"/>
    <w:rsid w:val="30FAB6D9"/>
    <w:rsid w:val="38BE15AC"/>
    <w:rsid w:val="3B1839CA"/>
    <w:rsid w:val="422BE760"/>
    <w:rsid w:val="4A42F117"/>
    <w:rsid w:val="594495A3"/>
    <w:rsid w:val="69A48BEF"/>
    <w:rsid w:val="6DCD2933"/>
    <w:rsid w:val="70616CD4"/>
    <w:rsid w:val="72F60CD0"/>
    <w:rsid w:val="73B75E91"/>
    <w:rsid w:val="74392C2F"/>
    <w:rsid w:val="75D8CDE6"/>
    <w:rsid w:val="77383D32"/>
    <w:rsid w:val="7ABCC48C"/>
    <w:rsid w:val="7CB4F46D"/>
    <w:rsid w:val="7F03ED12"/>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A5AFFD"/>
  <w15:chartTrackingRefBased/>
  <w15:docId w15:val="{E96F09A7-1991-4D40-BB27-7059EC7435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3F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33F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33F2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F33F2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33F2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33F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3F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3F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3F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3F2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33F2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33F2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F33F2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33F2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33F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3F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3F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3F20"/>
    <w:rPr>
      <w:rFonts w:eastAsiaTheme="majorEastAsia" w:cstheme="majorBidi"/>
      <w:color w:val="272727" w:themeColor="text1" w:themeTint="D8"/>
    </w:rPr>
  </w:style>
  <w:style w:type="paragraph" w:styleId="Title">
    <w:name w:val="Title"/>
    <w:basedOn w:val="Normal"/>
    <w:next w:val="Normal"/>
    <w:link w:val="TitleChar"/>
    <w:uiPriority w:val="10"/>
    <w:qFormat/>
    <w:rsid w:val="00F33F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3F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3F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3F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3F20"/>
    <w:pPr>
      <w:spacing w:before="160"/>
      <w:jc w:val="center"/>
    </w:pPr>
    <w:rPr>
      <w:i/>
      <w:iCs/>
      <w:color w:val="404040" w:themeColor="text1" w:themeTint="BF"/>
    </w:rPr>
  </w:style>
  <w:style w:type="character" w:customStyle="1" w:styleId="QuoteChar">
    <w:name w:val="Quote Char"/>
    <w:basedOn w:val="DefaultParagraphFont"/>
    <w:link w:val="Quote"/>
    <w:uiPriority w:val="29"/>
    <w:rsid w:val="00F33F20"/>
    <w:rPr>
      <w:i/>
      <w:iCs/>
      <w:color w:val="404040" w:themeColor="text1" w:themeTint="BF"/>
    </w:rPr>
  </w:style>
  <w:style w:type="paragraph" w:styleId="ListParagraph">
    <w:name w:val="List Paragraph"/>
    <w:basedOn w:val="Normal"/>
    <w:uiPriority w:val="34"/>
    <w:qFormat/>
    <w:rsid w:val="00F33F20"/>
    <w:pPr>
      <w:ind w:left="720"/>
      <w:contextualSpacing/>
    </w:pPr>
  </w:style>
  <w:style w:type="character" w:styleId="IntenseEmphasis">
    <w:name w:val="Intense Emphasis"/>
    <w:basedOn w:val="DefaultParagraphFont"/>
    <w:uiPriority w:val="21"/>
    <w:qFormat/>
    <w:rsid w:val="00F33F20"/>
    <w:rPr>
      <w:i/>
      <w:iCs/>
      <w:color w:val="0F4761" w:themeColor="accent1" w:themeShade="BF"/>
    </w:rPr>
  </w:style>
  <w:style w:type="paragraph" w:styleId="IntenseQuote">
    <w:name w:val="Intense Quote"/>
    <w:basedOn w:val="Normal"/>
    <w:next w:val="Normal"/>
    <w:link w:val="IntenseQuoteChar"/>
    <w:uiPriority w:val="30"/>
    <w:qFormat/>
    <w:rsid w:val="00F33F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33F20"/>
    <w:rPr>
      <w:i/>
      <w:iCs/>
      <w:color w:val="0F4761" w:themeColor="accent1" w:themeShade="BF"/>
    </w:rPr>
  </w:style>
  <w:style w:type="character" w:styleId="IntenseReference">
    <w:name w:val="Intense Reference"/>
    <w:basedOn w:val="DefaultParagraphFont"/>
    <w:uiPriority w:val="32"/>
    <w:qFormat/>
    <w:rsid w:val="00F33F20"/>
    <w:rPr>
      <w:b/>
      <w:bCs/>
      <w:smallCaps/>
      <w:color w:val="0F4761" w:themeColor="accent1" w:themeShade="BF"/>
      <w:spacing w:val="5"/>
    </w:rPr>
  </w:style>
  <w:style w:type="character" w:styleId="CommentReference">
    <w:name w:val="annotation reference"/>
    <w:basedOn w:val="DefaultParagraphFont"/>
    <w:uiPriority w:val="99"/>
    <w:semiHidden/>
    <w:unhideWhenUsed/>
    <w:rsid w:val="00496F61"/>
    <w:rPr>
      <w:sz w:val="16"/>
      <w:szCs w:val="16"/>
    </w:rPr>
  </w:style>
  <w:style w:type="paragraph" w:styleId="CommentText">
    <w:name w:val="annotation text"/>
    <w:basedOn w:val="Normal"/>
    <w:link w:val="CommentTextChar"/>
    <w:uiPriority w:val="99"/>
    <w:unhideWhenUsed/>
    <w:rsid w:val="00496F61"/>
    <w:pPr>
      <w:spacing w:line="240" w:lineRule="auto"/>
    </w:pPr>
    <w:rPr>
      <w:sz w:val="20"/>
      <w:szCs w:val="20"/>
    </w:rPr>
  </w:style>
  <w:style w:type="character" w:customStyle="1" w:styleId="CommentTextChar">
    <w:name w:val="Comment Text Char"/>
    <w:basedOn w:val="DefaultParagraphFont"/>
    <w:link w:val="CommentText"/>
    <w:uiPriority w:val="99"/>
    <w:rsid w:val="00496F61"/>
    <w:rPr>
      <w:sz w:val="20"/>
      <w:szCs w:val="20"/>
    </w:rPr>
  </w:style>
  <w:style w:type="paragraph" w:styleId="CommentSubject">
    <w:name w:val="annotation subject"/>
    <w:basedOn w:val="CommentText"/>
    <w:next w:val="CommentText"/>
    <w:link w:val="CommentSubjectChar"/>
    <w:uiPriority w:val="99"/>
    <w:semiHidden/>
    <w:unhideWhenUsed/>
    <w:rsid w:val="00496F61"/>
    <w:rPr>
      <w:b/>
      <w:bCs/>
    </w:rPr>
  </w:style>
  <w:style w:type="character" w:customStyle="1" w:styleId="CommentSubjectChar">
    <w:name w:val="Comment Subject Char"/>
    <w:basedOn w:val="CommentTextChar"/>
    <w:link w:val="CommentSubject"/>
    <w:uiPriority w:val="99"/>
    <w:semiHidden/>
    <w:rsid w:val="00496F61"/>
    <w:rPr>
      <w:b/>
      <w:bCs/>
      <w:sz w:val="20"/>
      <w:szCs w:val="20"/>
    </w:rPr>
  </w:style>
  <w:style w:type="character" w:styleId="Mention">
    <w:name w:val="Mention"/>
    <w:basedOn w:val="DefaultParagraphFont"/>
    <w:uiPriority w:val="99"/>
    <w:unhideWhenUsed/>
    <w:rsid w:val="000D61FE"/>
    <w:rPr>
      <w:color w:val="2B579A"/>
      <w:shd w:val="clear" w:color="auto" w:fill="E1DFDD"/>
    </w:rPr>
  </w:style>
  <w:style w:type="paragraph" w:styleId="Revision">
    <w:name w:val="Revision"/>
    <w:hidden/>
    <w:uiPriority w:val="99"/>
    <w:semiHidden/>
    <w:rsid w:val="00DA3C8E"/>
    <w:pPr>
      <w:spacing w:after="0" w:line="240" w:lineRule="auto"/>
    </w:pPr>
  </w:style>
  <w:style w:type="table" w:styleId="GridTable5Dark-Accent2">
    <w:name w:val="Grid Table 5 Dark Accent 2"/>
    <w:basedOn w:val="TableNormal"/>
    <w:uiPriority w:val="50"/>
    <w:rsid w:val="00DE2DE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E2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9713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9713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9713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97132" w:themeFill="accent2"/>
      </w:tcPr>
    </w:tblStylePr>
    <w:tblStylePr w:type="band1Vert">
      <w:tblPr/>
      <w:tcPr>
        <w:shd w:val="clear" w:color="auto" w:fill="F6C5AC" w:themeFill="accent2" w:themeFillTint="66"/>
      </w:tcPr>
    </w:tblStylePr>
    <w:tblStylePr w:type="band1Horz">
      <w:tblPr/>
      <w:tcPr>
        <w:shd w:val="clear" w:color="auto" w:fill="F6C5AC" w:themeFill="accent2"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microsoft.com/office/2019/05/relationships/documenttasks" Target="documenttasks/documenttasks1.xml"/><Relationship Id="rId4" Type="http://schemas.openxmlformats.org/officeDocument/2006/relationships/numbering" Target="numbering.xml"/><Relationship Id="rId9" Type="http://schemas.openxmlformats.org/officeDocument/2006/relationships/theme" Target="theme/theme1.xml"/></Relationships>
</file>

<file path=word/documenttasks/documenttasks1.xml><?xml version="1.0" encoding="utf-8"?>
<t:Tasks xmlns:t="http://schemas.microsoft.com/office/tasks/2019/documenttasks" xmlns:oel="http://schemas.microsoft.com/office/2019/extlst">
  <t:Task id="{B1C6E6C2-9F02-4B18-A158-2EA25B1BED9F}">
    <t:Anchor>
      <t:Comment id="104402058"/>
    </t:Anchor>
    <t:History>
      <t:Event id="{B9219AF1-B56A-406F-9378-12346E8DCEFF}" time="2026-04-20T12:42:33.826Z">
        <t:Attribution userId="S::hcarr@burningglassinstitute.org::ac0ad975-f479-4ece-bb70-c84f9374a64f" userProvider="AD" userName="Harry Carr"/>
        <t:Anchor>
          <t:Comment id="104402058"/>
        </t:Anchor>
        <t:Create/>
      </t:Event>
      <t:Event id="{6A2B429E-8438-4797-A834-EF15D051E077}" time="2026-04-20T12:42:33.826Z">
        <t:Attribution userId="S::hcarr@burningglassinstitute.org::ac0ad975-f479-4ece-bb70-c84f9374a64f" userProvider="AD" userName="Harry Carr"/>
        <t:Anchor>
          <t:Comment id="104402058"/>
        </t:Anchor>
        <t:Assign userId="S::ayuan@burningglassinstitute.org::b73a45af-b146-42f2-b5e2-cf74ff28661f" userProvider="AD" userName="Ashley Yuan"/>
      </t:Event>
      <t:Event id="{A259F9F2-F0D2-4BBE-A492-D510680CAF60}" time="2026-04-20T12:42:33.826Z">
        <t:Attribution userId="S::hcarr@burningglassinstitute.org::ac0ad975-f479-4ece-bb70-c84f9374a64f" userProvider="AD" userName="Harry Carr"/>
        <t:Anchor>
          <t:Comment id="104402058"/>
        </t:Anchor>
        <t:SetTitle title="@Ashley Yuan can you please provide the specific definitions here to make sure we get these right!"/>
      </t:Event>
      <t:Event id="{2FCECAA1-23DB-4A59-B05A-6A48E36F53F7}" time="2026-05-01T05:13:19.353Z">
        <t:Attribution userId="S::hcarr@burningglassinstitute.org::ac0ad975-f479-4ece-bb70-c84f9374a64f" userProvider="AD" userName="Harry Carr"/>
        <t:Progress percentComplete="100"/>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5b1fa76e-216c-4b74-a4f4-55bd787e7d0e">
      <Terms xmlns="http://schemas.microsoft.com/office/infopath/2007/PartnerControls"/>
    </lcf76f155ced4ddcb4097134ff3c332f>
    <choice xmlns="5b1fa76e-216c-4b74-a4f4-55bd787e7d0e" xsi:nil="true"/>
    <TaxCatchAll xmlns="918ecf44-a006-4fa0-b20a-2178aae1ced2"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D2613FF1BB675B448F3121A2C4AF2E93" ma:contentTypeVersion="17" ma:contentTypeDescription="Create a new document." ma:contentTypeScope="" ma:versionID="6a5e8ac3ba9873b0a75267260c1fe709">
  <xsd:schema xmlns:xsd="http://www.w3.org/2001/XMLSchema" xmlns:xs="http://www.w3.org/2001/XMLSchema" xmlns:p="http://schemas.microsoft.com/office/2006/metadata/properties" xmlns:ns2="5b1fa76e-216c-4b74-a4f4-55bd787e7d0e" xmlns:ns3="918ecf44-a006-4fa0-b20a-2178aae1ced2" targetNamespace="http://schemas.microsoft.com/office/2006/metadata/properties" ma:root="true" ma:fieldsID="c3fca21feedd1f0bd856ba174b59f095" ns2:_="" ns3:_="">
    <xsd:import namespace="5b1fa76e-216c-4b74-a4f4-55bd787e7d0e"/>
    <xsd:import namespace="918ecf44-a006-4fa0-b20a-2178aae1ced2"/>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ServiceDateTaken" minOccurs="0"/>
                <xsd:element ref="ns2:MediaLengthInSeconds" minOccurs="0"/>
                <xsd:element ref="ns3:SharedWithUsers" minOccurs="0"/>
                <xsd:element ref="ns3:SharedWithDetails" minOccurs="0"/>
                <xsd:element ref="ns2:MediaServiceObjectDetectorVersions" minOccurs="0"/>
                <xsd:element ref="ns2:MediaServiceLocation" minOccurs="0"/>
                <xsd:element ref="ns2:MediaServiceSearchProperties" minOccurs="0"/>
                <xsd:element ref="ns2:choice"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b1fa76e-216c-4b74-a4f4-55bd787e7d0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a86b368a-d801-410e-abe9-dbb98055ce5c" ma:termSetId="09814cd3-568e-fe90-9814-8d621ff8fb84" ma:anchorId="fba54fb3-c3e1-fe81-a776-ca4b69148c4d" ma:open="true" ma:isKeyword="false">
      <xsd:complexType>
        <xsd:sequence>
          <xsd:element ref="pc:Terms" minOccurs="0" maxOccurs="1"/>
        </xsd:sequence>
      </xsd:complex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choice" ma:index="23" nillable="true" ma:displayName="choice" ma:format="Dropdown" ma:internalName="choice">
      <xsd:simpleType>
        <xsd:restriction base="dms:Choice">
          <xsd:enumeration value="Choice 1"/>
          <xsd:enumeration value="Choice 2"/>
          <xsd:enumeration value="Choice 3"/>
        </xsd:restriction>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18ecf44-a006-4fa0-b20a-2178aae1ced2"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a9cad981-d9c5-4327-a395-c3b2963b246b}" ma:internalName="TaxCatchAll" ma:showField="CatchAllData" ma:web="918ecf44-a006-4fa0-b20a-2178aae1ced2">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BE65914-D529-4BBB-9A01-F7997518C8AA}">
  <ds:schemaRefs>
    <ds:schemaRef ds:uri="http://schemas.microsoft.com/office/2006/metadata/properties"/>
    <ds:schemaRef ds:uri="http://schemas.microsoft.com/office/infopath/2007/PartnerControls"/>
    <ds:schemaRef ds:uri="5b1fa76e-216c-4b74-a4f4-55bd787e7d0e"/>
    <ds:schemaRef ds:uri="918ecf44-a006-4fa0-b20a-2178aae1ced2"/>
  </ds:schemaRefs>
</ds:datastoreItem>
</file>

<file path=customXml/itemProps2.xml><?xml version="1.0" encoding="utf-8"?>
<ds:datastoreItem xmlns:ds="http://schemas.openxmlformats.org/officeDocument/2006/customXml" ds:itemID="{0CA54578-682A-4C72-90C9-66052AD4B2DD}">
  <ds:schemaRefs>
    <ds:schemaRef ds:uri="http://schemas.microsoft.com/sharepoint/v3/contenttype/forms"/>
  </ds:schemaRefs>
</ds:datastoreItem>
</file>

<file path=customXml/itemProps3.xml><?xml version="1.0" encoding="utf-8"?>
<ds:datastoreItem xmlns:ds="http://schemas.openxmlformats.org/officeDocument/2006/customXml" ds:itemID="{CC0661FA-72B2-49AD-9C88-AF8BAD6468C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b1fa76e-216c-4b74-a4f4-55bd787e7d0e"/>
    <ds:schemaRef ds:uri="918ecf44-a006-4fa0-b20a-2178aae1ce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32</Pages>
  <Words>10240</Words>
  <Characters>58371</Characters>
  <Application>Microsoft Office Word</Application>
  <DocSecurity>0</DocSecurity>
  <Lines>486</Lines>
  <Paragraphs>136</Paragraphs>
  <ScaleCrop>false</ScaleCrop>
  <Company/>
  <LinksUpToDate>false</LinksUpToDate>
  <CharactersWithSpaces>68475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Harry Carr</dc:creator>
  <cp:keywords/>
  <dc:description/>
  <cp:lastModifiedBy>Harry Carr</cp:lastModifiedBy>
  <cp:revision>2</cp:revision>
  <dcterms:created xsi:type="dcterms:W3CDTF">2026-05-15T15:09:00Z</dcterms:created>
  <dcterms:modified xsi:type="dcterms:W3CDTF">2026-05-15T15:09:00Z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0x010100D2613FF1BB675B448F3121A2C4AF2E93</vt:lpwstr>
  </property>
  <property fmtid="{D5CDD505-2E9C-101B-9397-08002B2CF9AE}" pid="3" name="MediaServiceImageTags">
    <vt:lpwstr/>
  </property>
</Properties>
</file>