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333333"/>
          <w:sz w:val="56"/>
          <w:szCs w:val="56"/>
        </w:rPr>
        <w:t xml:space="preserve">MIXER STATION</w:t>
      </w:r>
    </w:p>
    <w:p>
      <w:pPr>
        <w:spacing w:after="400"/>
        <w:jc w:val="center"/>
      </w:pPr>
      <w:r>
        <w:rPr>
          <w:i/>
          <w:iCs/>
          <w:color w:val="666666"/>
          <w:sz w:val="28"/>
          <w:szCs w:val="28"/>
        </w:rPr>
        <w:t xml:space="preserve">Sound Rack — Sanctuary AV Closet</w:t>
      </w:r>
    </w:p>
    <w:p>
      <w:pPr>
        <w:spacing w:after="120"/>
      </w:pPr>
      <w:r>
        <w:rPr>
          <w:b/>
          <w:bCs/>
          <w:color w:val="1B7A3D"/>
          <w:sz w:val="24"/>
          <w:szCs w:val="24"/>
        </w:rPr>
        <w:t xml:space="preserve">TURNING ON</w:t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200"/>
        <w:gridCol w:w="9600"/>
      </w:tblGrid>
      <w:tr>
        <w:tc>
          <w:tcPr>
            <w:tcW w:type="dxa" w:w="1200"/>
            <w:shd w:fill="1B7A3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 xml:space="preserve">1</w:t>
            </w:r>
          </w:p>
        </w:tc>
        <w:tc>
          <w:tcPr>
            <w:tcW w:type="dxa" w:w="9600"/>
            <w:tcMar>
              <w:top w:type="dxa" w:w="100"/>
              <w:left w:type="dxa" w:w="3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color w:val="333333"/>
                <w:sz w:val="30"/>
                <w:szCs w:val="30"/>
              </w:rPr>
              <w:t xml:space="preserve">Press the GREEN button on the rack.</w:t>
            </w:r>
          </w:p>
          <w:p>
            <w:r>
              <w:rPr>
                <w:color w:val="444444"/>
                <w:sz w:val="24"/>
                <w:szCs w:val="24"/>
              </w:rPr>
              <w:t xml:space="preserve">This turns on everything: mixer, amplifier, and wireless connection. One button — that's it.</w:t>
            </w:r>
          </w:p>
        </w:tc>
      </w:tr>
    </w:tbl>
    <w:p>
      <w:pPr>
        <w:spacing w:after="130"/>
      </w:pPr>
    </w:p>
    <w:tbl>
      <w:tblPr>
        <w:tblW w:type="dxa" w:w="108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200"/>
        <w:gridCol w:w="9600"/>
      </w:tblGrid>
      <w:tr>
        <w:tc>
          <w:tcPr>
            <w:tcW w:type="dxa" w:w="1200"/>
            <w:shd w:fill="1B7A3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 xml:space="preserve">2</w:t>
            </w:r>
          </w:p>
        </w:tc>
        <w:tc>
          <w:tcPr>
            <w:tcW w:type="dxa" w:w="9600"/>
            <w:tcMar>
              <w:top w:type="dxa" w:w="100"/>
              <w:left w:type="dxa" w:w="3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color w:val="333333"/>
                <w:sz w:val="30"/>
                <w:szCs w:val="30"/>
              </w:rPr>
              <w:t xml:space="preserve">Wait about 30–60 seconds.</w:t>
            </w:r>
          </w:p>
          <w:p>
            <w:r>
              <w:rPr>
                <w:color w:val="444444"/>
                <w:sz w:val="24"/>
                <w:szCs w:val="24"/>
              </w:rPr>
              <w:t xml:space="preserve">The rack takes a moment to boot up. You'll hear a faint click or see the mixer screen light up when it's ready.</w:t>
            </w:r>
          </w:p>
        </w:tc>
      </w:tr>
    </w:tbl>
    <w:p>
      <w:pPr>
        <w:spacing w:after="130"/>
      </w:pPr>
    </w:p>
    <w:tbl>
      <w:tblPr>
        <w:tblW w:type="dxa" w:w="108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200"/>
        <w:gridCol w:w="9600"/>
      </w:tblGrid>
      <w:tr>
        <w:tc>
          <w:tcPr>
            <w:tcW w:type="dxa" w:w="1200"/>
            <w:shd w:fill="1B7A3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 xml:space="preserve">3</w:t>
            </w:r>
          </w:p>
        </w:tc>
        <w:tc>
          <w:tcPr>
            <w:tcW w:type="dxa" w:w="9600"/>
            <w:tcMar>
              <w:top w:type="dxa" w:w="100"/>
              <w:left w:type="dxa" w:w="3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color w:val="333333"/>
                <w:sz w:val="30"/>
                <w:szCs w:val="30"/>
              </w:rPr>
              <w:t xml:space="preserve">Done. Don't touch anything else.</w:t>
            </w:r>
          </w:p>
          <w:p>
            <w:r>
              <w:rPr>
                <w:color w:val="444444"/>
                <w:sz w:val="24"/>
                <w:szCs w:val="24"/>
              </w:rPr>
              <w:t xml:space="preserve">All levels are already set. If a mic isn't working, check the mic itself first (power, battery) before touching the mixer.</w:t>
            </w:r>
          </w:p>
        </w:tc>
      </w:tr>
    </w:tbl>
    <w:p>
      <w:pPr>
        <w:spacing w:after="220"/>
      </w:pPr>
    </w:p>
    <w:p>
      <w:pPr>
        <w:spacing w:after="120"/>
      </w:pPr>
      <w:r>
        <w:rPr>
          <w:b/>
          <w:bCs/>
          <w:color w:val="333333"/>
          <w:sz w:val="24"/>
          <w:szCs w:val="24"/>
        </w:rPr>
        <w:t xml:space="preserve">TURNING OFF</w:t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200"/>
        <w:gridCol w:w="9600"/>
      </w:tblGrid>
      <w:tr>
        <w:tc>
          <w:tcPr>
            <w:tcW w:type="dxa" w:w="1200"/>
            <w:shd w:fill="1B7A3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 xml:space="preserve">4</w:t>
            </w:r>
          </w:p>
        </w:tc>
        <w:tc>
          <w:tcPr>
            <w:tcW w:type="dxa" w:w="9600"/>
            <w:tcMar>
              <w:top w:type="dxa" w:w="100"/>
              <w:left w:type="dxa" w:w="300"/>
              <w:bottom w:type="dxa" w:w="10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color w:val="333333"/>
                <w:sz w:val="30"/>
                <w:szCs w:val="30"/>
              </w:rPr>
              <w:t xml:space="preserve">Press the same GREEN button.</w:t>
            </w:r>
          </w:p>
          <w:p>
            <w:r>
              <w:rPr>
                <w:color w:val="444444"/>
                <w:sz w:val="24"/>
                <w:szCs w:val="24"/>
              </w:rPr>
              <w:t xml:space="preserve">One press powers down the mixer, amplifier, and wireless connection together — same button as startup.</w:t>
            </w:r>
          </w:p>
        </w:tc>
      </w:tr>
    </w:tbl>
    <w:p>
      <w:pPr>
        <w:spacing w:after="220"/>
      </w:pPr>
    </w:p>
    <w:tbl>
      <w:tblPr>
        <w:tblW w:type="dxa" w:w="10800"/>
        <w:tblBorders>
          <w:top w:val="single" w:color="1B7A3D" w:sz="12"/>
          <w:left w:val="single" w:color="1B7A3D" w:sz="12"/>
          <w:bottom w:val="single" w:color="1B7A3D" w:sz="12"/>
          <w:right w:val="single" w:color="1B7A3D" w:sz="12"/>
          <w:insideH w:val="none"/>
          <w:insideV w:val="none"/>
        </w:tblBorders>
      </w:tblPr>
      <w:tblGrid>
        <w:gridCol w:w="10800"/>
      </w:tblGrid>
      <w:tr>
        <w:tc>
          <w:tcPr>
            <w:tcW w:type="dxa" w:w="10800"/>
            <w:shd w:fill="F2F2F2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100"/>
            </w:pPr>
            <w:r>
              <w:rPr>
                <w:b/>
                <w:bCs/>
                <w:color w:val="1B7A3D"/>
                <w:sz w:val="26"/>
                <w:szCs w:val="26"/>
              </w:rPr>
              <w:t xml:space="preserve">IF SOMETHING SOUNDS WRONG</w:t>
            </w:r>
          </w:p>
          <w:p>
            <w:pPr>
              <w:spacing w:after="60"/>
            </w:pPr>
            <w:r>
              <w:rPr>
                <w:color w:val="333333"/>
                <w:sz w:val="23"/>
                <w:szCs w:val="23"/>
              </w:rPr>
              <w:t xml:space="preserve">• Someone may have bumped a fader or button.</w:t>
            </w:r>
          </w:p>
          <w:p>
            <w:pPr>
              <w:spacing w:after="60"/>
            </w:pPr>
            <w:r>
              <w:rPr>
                <w:color w:val="333333"/>
                <w:sz w:val="23"/>
                <w:szCs w:val="23"/>
              </w:rPr>
              <w:t xml:space="preserve">• On the mixer screen: hit HOME → open SCENES → select the starting scene → hit RECALL.</w:t>
            </w:r>
          </w:p>
          <w:p>
            <w:pPr>
              <w:spacing w:after="60"/>
            </w:pPr>
            <w:r>
              <w:rPr>
                <w:color w:val="333333"/>
                <w:sz w:val="23"/>
                <w:szCs w:val="23"/>
              </w:rPr>
              <w:t xml:space="preserve">• This resets everything back to normal in one step.</w:t>
            </w:r>
          </w:p>
        </w:tc>
      </w:tr>
    </w:tbl>
    <w:tbl>
      <w:tblPr>
        <w:tblW w:type="dxa" w:w="10800"/>
        <w:tblBorders>
          <w:top w:val="single" w:color="B3261E" w:sz="12"/>
          <w:left w:val="single" w:color="B3261E" w:sz="12"/>
          <w:bottom w:val="single" w:color="B3261E" w:sz="12"/>
          <w:right w:val="single" w:color="B3261E" w:sz="12"/>
          <w:insideH w:val="none"/>
          <w:insideV w:val="none"/>
        </w:tblBorders>
      </w:tblPr>
      <w:tblGrid>
        <w:gridCol w:w="10800"/>
      </w:tblGrid>
      <w:tr>
        <w:tc>
          <w:tcPr>
            <w:tcW w:type="dxa" w:w="10800"/>
            <w:shd w:fill="F2F2F2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</w:tc>
      </w:tr>
    </w:tbl>
    <w:p>
      <w:pPr>
        <w:spacing w:after="220"/>
      </w:pPr>
    </w:p>
    <w:p>
      <w:pPr>
        <w:jc w:val="center"/>
      </w:pPr>
      <w:r>
        <w:drawing>
          <wp:inline distT="0" distB="0" distL="0" distR="0">
            <wp:extent cx="952500" cy="95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00"/>
        <w:jc w:val="center"/>
      </w:pPr>
      <w:r>
        <w:rPr>
          <w:i/>
          <w:iCs/>
          <w:color w:val="888888"/>
          <w:sz w:val="20"/>
          <w:szCs w:val="20"/>
        </w:rPr>
        <w:t xml:space="preserve">Scan for the full guide + troubleshooting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qr-lnpc-av-guide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2026-08-22T13:16:23.280Z</dcterms:created>
  <dcterms:modified xsi:type="dcterms:W3CDTF">2026-08-22T13:16:23.292Z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