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2DE9" w:rsidRDefault="00662DE9" w:rsidP="00AE714E">
      <w:pPr>
        <w:jc w:val="center"/>
        <w:rPr>
          <w:b/>
          <w:sz w:val="36"/>
        </w:rPr>
      </w:pPr>
    </w:p>
    <w:p w:rsidR="00662DE9" w:rsidRDefault="00662DE9" w:rsidP="00AE714E">
      <w:pPr>
        <w:jc w:val="center"/>
        <w:rPr>
          <w:b/>
          <w:sz w:val="36"/>
        </w:rPr>
      </w:pPr>
    </w:p>
    <w:p w:rsidR="00662DE9" w:rsidRDefault="00662DE9" w:rsidP="00AE714E">
      <w:pPr>
        <w:jc w:val="center"/>
        <w:rPr>
          <w:b/>
          <w:sz w:val="36"/>
        </w:rPr>
      </w:pPr>
    </w:p>
    <w:p w:rsidR="00662DE9" w:rsidRDefault="00662DE9" w:rsidP="00AE714E">
      <w:pPr>
        <w:jc w:val="center"/>
        <w:rPr>
          <w:b/>
          <w:sz w:val="36"/>
        </w:rPr>
      </w:pPr>
    </w:p>
    <w:p w:rsidR="00662DE9" w:rsidRDefault="00662DE9" w:rsidP="00AE714E">
      <w:pPr>
        <w:jc w:val="center"/>
        <w:rPr>
          <w:b/>
          <w:sz w:val="36"/>
        </w:rPr>
      </w:pPr>
    </w:p>
    <w:p w:rsidR="00662DE9" w:rsidRDefault="00AE714E" w:rsidP="00AE714E">
      <w:pPr>
        <w:jc w:val="center"/>
        <w:rPr>
          <w:b/>
          <w:sz w:val="48"/>
        </w:rPr>
      </w:pPr>
      <w:r w:rsidRPr="00662DE9">
        <w:rPr>
          <w:b/>
          <w:sz w:val="48"/>
        </w:rPr>
        <w:t xml:space="preserve">Effect of I-Beam </w:t>
      </w:r>
      <w:r w:rsidR="00AA565D">
        <w:rPr>
          <w:b/>
          <w:sz w:val="48"/>
        </w:rPr>
        <w:t>Parameters</w:t>
      </w:r>
      <w:r w:rsidRPr="00662DE9">
        <w:rPr>
          <w:b/>
          <w:sz w:val="48"/>
        </w:rPr>
        <w:t xml:space="preserve"> on </w:t>
      </w:r>
    </w:p>
    <w:p w:rsidR="00516F20" w:rsidRPr="00662DE9" w:rsidRDefault="00AE714E" w:rsidP="00AE714E">
      <w:pPr>
        <w:jc w:val="center"/>
        <w:rPr>
          <w:b/>
          <w:sz w:val="48"/>
        </w:rPr>
      </w:pPr>
      <w:r w:rsidRPr="00662DE9">
        <w:rPr>
          <w:b/>
          <w:sz w:val="48"/>
        </w:rPr>
        <w:t>Strength and Weight</w:t>
      </w:r>
    </w:p>
    <w:p w:rsidR="00662DE9" w:rsidRDefault="00662DE9" w:rsidP="00145974">
      <w:pPr>
        <w:spacing w:after="0"/>
        <w:jc w:val="center"/>
        <w:rPr>
          <w:sz w:val="28"/>
        </w:rPr>
      </w:pPr>
    </w:p>
    <w:p w:rsidR="00662DE9" w:rsidRDefault="00136928" w:rsidP="00145974">
      <w:pPr>
        <w:spacing w:after="0"/>
        <w:jc w:val="center"/>
        <w:rPr>
          <w:sz w:val="28"/>
        </w:rPr>
      </w:pPr>
      <w:r>
        <w:rPr>
          <w:sz w:val="28"/>
        </w:rPr>
        <w:t>MATH 740 – Final Project</w:t>
      </w:r>
    </w:p>
    <w:p w:rsidR="00662DE9" w:rsidRDefault="00662DE9" w:rsidP="00145974">
      <w:pPr>
        <w:spacing w:after="0"/>
        <w:jc w:val="center"/>
        <w:rPr>
          <w:sz w:val="28"/>
        </w:rPr>
      </w:pPr>
    </w:p>
    <w:p w:rsidR="00662DE9" w:rsidRDefault="00662DE9" w:rsidP="00145974">
      <w:pPr>
        <w:spacing w:after="0"/>
        <w:jc w:val="center"/>
        <w:rPr>
          <w:sz w:val="28"/>
        </w:rPr>
      </w:pPr>
    </w:p>
    <w:p w:rsidR="00662DE9" w:rsidRDefault="00662DE9" w:rsidP="00145974">
      <w:pPr>
        <w:spacing w:after="0"/>
        <w:jc w:val="center"/>
        <w:rPr>
          <w:sz w:val="28"/>
        </w:rPr>
      </w:pPr>
    </w:p>
    <w:p w:rsidR="00662DE9" w:rsidRDefault="00662DE9" w:rsidP="00145974">
      <w:pPr>
        <w:spacing w:after="0"/>
        <w:jc w:val="center"/>
        <w:rPr>
          <w:sz w:val="28"/>
        </w:rPr>
      </w:pPr>
    </w:p>
    <w:p w:rsidR="00662DE9" w:rsidRDefault="00662DE9" w:rsidP="00145974">
      <w:pPr>
        <w:spacing w:after="0"/>
        <w:jc w:val="center"/>
        <w:rPr>
          <w:sz w:val="28"/>
        </w:rPr>
      </w:pPr>
    </w:p>
    <w:p w:rsidR="00662DE9" w:rsidRDefault="00662DE9" w:rsidP="00145974">
      <w:pPr>
        <w:spacing w:after="0"/>
        <w:jc w:val="center"/>
        <w:rPr>
          <w:sz w:val="28"/>
        </w:rPr>
      </w:pPr>
    </w:p>
    <w:p w:rsidR="00662DE9" w:rsidRDefault="00662DE9" w:rsidP="00145974">
      <w:pPr>
        <w:spacing w:after="0"/>
        <w:jc w:val="center"/>
        <w:rPr>
          <w:sz w:val="28"/>
        </w:rPr>
      </w:pPr>
    </w:p>
    <w:p w:rsidR="00145974" w:rsidRPr="00191C11" w:rsidRDefault="00145974" w:rsidP="00145974">
      <w:pPr>
        <w:spacing w:after="0"/>
        <w:jc w:val="center"/>
        <w:rPr>
          <w:sz w:val="32"/>
        </w:rPr>
      </w:pPr>
      <w:r w:rsidRPr="00191C11">
        <w:rPr>
          <w:sz w:val="32"/>
        </w:rPr>
        <w:t xml:space="preserve">Nicholas </w:t>
      </w:r>
      <w:proofErr w:type="spellStart"/>
      <w:r w:rsidRPr="00191C11">
        <w:rPr>
          <w:sz w:val="32"/>
        </w:rPr>
        <w:t>Bealo</w:t>
      </w:r>
      <w:proofErr w:type="spellEnd"/>
    </w:p>
    <w:p w:rsidR="00145974" w:rsidRPr="00191C11" w:rsidRDefault="00145974" w:rsidP="00145974">
      <w:pPr>
        <w:spacing w:after="0"/>
        <w:jc w:val="center"/>
        <w:rPr>
          <w:sz w:val="32"/>
        </w:rPr>
      </w:pPr>
      <w:r w:rsidRPr="00191C11">
        <w:rPr>
          <w:sz w:val="32"/>
        </w:rPr>
        <w:t>Kristopher Fargo</w:t>
      </w:r>
    </w:p>
    <w:p w:rsidR="00145974" w:rsidRPr="00191C11" w:rsidRDefault="00145974" w:rsidP="00145974">
      <w:pPr>
        <w:spacing w:after="0"/>
        <w:jc w:val="center"/>
        <w:rPr>
          <w:sz w:val="32"/>
        </w:rPr>
      </w:pPr>
      <w:r w:rsidRPr="00191C11">
        <w:rPr>
          <w:sz w:val="32"/>
        </w:rPr>
        <w:t>Erik Gustafson</w:t>
      </w:r>
    </w:p>
    <w:p w:rsidR="00145974" w:rsidRPr="00191C11" w:rsidRDefault="00145974" w:rsidP="00145974">
      <w:pPr>
        <w:spacing w:after="0"/>
        <w:jc w:val="center"/>
        <w:rPr>
          <w:sz w:val="32"/>
        </w:rPr>
      </w:pPr>
      <w:r w:rsidRPr="00191C11">
        <w:rPr>
          <w:sz w:val="32"/>
        </w:rPr>
        <w:t>Bradley Olsen</w:t>
      </w:r>
    </w:p>
    <w:p w:rsidR="00F91D10" w:rsidRDefault="00F91D10" w:rsidP="00145974">
      <w:pPr>
        <w:spacing w:after="0"/>
        <w:jc w:val="center"/>
        <w:rPr>
          <w:sz w:val="28"/>
        </w:rPr>
      </w:pPr>
    </w:p>
    <w:p w:rsidR="00F91D10" w:rsidRDefault="00F91D10" w:rsidP="00145974">
      <w:pPr>
        <w:spacing w:after="0"/>
        <w:jc w:val="center"/>
        <w:rPr>
          <w:sz w:val="28"/>
        </w:rPr>
      </w:pPr>
    </w:p>
    <w:p w:rsidR="00F91D10" w:rsidRDefault="00F91D10" w:rsidP="00145974">
      <w:pPr>
        <w:spacing w:after="0"/>
        <w:jc w:val="center"/>
        <w:rPr>
          <w:sz w:val="28"/>
        </w:rPr>
      </w:pPr>
    </w:p>
    <w:p w:rsidR="00F91D10" w:rsidRDefault="00F91D10" w:rsidP="00145974">
      <w:pPr>
        <w:spacing w:after="0"/>
        <w:jc w:val="center"/>
        <w:rPr>
          <w:sz w:val="28"/>
        </w:rPr>
      </w:pPr>
      <w:r>
        <w:rPr>
          <w:sz w:val="28"/>
        </w:rPr>
        <w:t>December 12, 2017</w:t>
      </w:r>
    </w:p>
    <w:p w:rsidR="00662DE9" w:rsidRDefault="00662DE9">
      <w:pPr>
        <w:rPr>
          <w:sz w:val="28"/>
        </w:rPr>
      </w:pPr>
      <w:r>
        <w:rPr>
          <w:sz w:val="28"/>
        </w:rPr>
        <w:br w:type="page"/>
      </w:r>
    </w:p>
    <w:p w:rsidR="00516F20" w:rsidRPr="00516F20" w:rsidRDefault="00516F20">
      <w:pPr>
        <w:rPr>
          <w:b/>
        </w:rPr>
      </w:pPr>
      <w:r w:rsidRPr="00516F20">
        <w:rPr>
          <w:b/>
        </w:rPr>
        <w:lastRenderedPageBreak/>
        <w:t>Abstract</w:t>
      </w:r>
    </w:p>
    <w:p w:rsidR="00961F0D" w:rsidRDefault="00961F0D">
      <w:pPr>
        <w:rPr>
          <w:b/>
        </w:rPr>
      </w:pPr>
    </w:p>
    <w:p w:rsidR="00E6328F" w:rsidRDefault="00E6328F">
      <w:pPr>
        <w:rPr>
          <w:b/>
        </w:rPr>
      </w:pPr>
    </w:p>
    <w:p w:rsidR="003E3694" w:rsidRPr="00D14F24" w:rsidRDefault="00022A42">
      <w:pPr>
        <w:rPr>
          <w:b/>
        </w:rPr>
      </w:pPr>
      <w:r w:rsidRPr="00D14F24">
        <w:rPr>
          <w:b/>
        </w:rPr>
        <w:t>Methods and Materials</w:t>
      </w:r>
    </w:p>
    <w:p w:rsidR="00022A42" w:rsidRDefault="003036DB" w:rsidP="00022A42">
      <w:pPr>
        <w:ind w:firstLine="720"/>
      </w:pPr>
      <w:r>
        <w:t xml:space="preserve">Often it is necessary to determine the best combination of strength to weight. This ratio is a fundamental problem </w:t>
      </w:r>
      <w:r w:rsidR="00FB363A">
        <w:t>in engineering</w:t>
      </w:r>
      <w:r w:rsidR="00F14908">
        <w:t>, with implications on the factor of safety and the cost of the product</w:t>
      </w:r>
      <w:r w:rsidR="00FB363A">
        <w:t xml:space="preserve">. </w:t>
      </w:r>
      <w:r w:rsidR="00022A42">
        <w:t xml:space="preserve">This </w:t>
      </w:r>
      <w:r w:rsidR="006D77B5">
        <w:t xml:space="preserve">particular </w:t>
      </w:r>
      <w:r w:rsidR="00022A42">
        <w:t>experiment was conducted to analyze the effect of beam dimensions on the strength and weight of the beam.</w:t>
      </w:r>
      <w:r>
        <w:t xml:space="preserve"> To conduct this experiment</w:t>
      </w:r>
      <w:r w:rsidR="006D77B5">
        <w:t>, a full factorial d</w:t>
      </w:r>
      <w:r w:rsidR="009F2E7E">
        <w:t>esign was selected with three</w:t>
      </w:r>
      <w:r w:rsidR="005E0623">
        <w:t xml:space="preserve"> continuous</w:t>
      </w:r>
      <w:r w:rsidR="009F2E7E">
        <w:t xml:space="preserve"> factors. The response was chosen to maximize the bearing load and minimize the weight. </w:t>
      </w:r>
      <w:r w:rsidR="00022A42">
        <w:t xml:space="preserve">The </w:t>
      </w:r>
      <w:r w:rsidR="005E0623">
        <w:t xml:space="preserve">specific </w:t>
      </w:r>
      <w:r w:rsidR="00022A42">
        <w:t xml:space="preserve">factors chosen for this experiment are shown in </w:t>
      </w:r>
      <w:r w:rsidR="00BF2722">
        <w:fldChar w:fldCharType="begin"/>
      </w:r>
      <w:r w:rsidR="00BF2722">
        <w:instrText xml:space="preserve"> REF _Ref500847098 \h </w:instrText>
      </w:r>
      <w:r w:rsidR="00BF2722">
        <w:fldChar w:fldCharType="separate"/>
      </w:r>
      <w:r w:rsidR="00BF2722">
        <w:t xml:space="preserve">Figure </w:t>
      </w:r>
      <w:r w:rsidR="00BF2722">
        <w:rPr>
          <w:noProof/>
        </w:rPr>
        <w:t>1</w:t>
      </w:r>
      <w:r w:rsidR="00BF2722">
        <w:fldChar w:fldCharType="end"/>
      </w:r>
      <w:r w:rsidR="00BF2722">
        <w:t xml:space="preserve"> </w:t>
      </w:r>
      <w:r w:rsidR="00022A42">
        <w:t>below.</w:t>
      </w:r>
    </w:p>
    <w:p w:rsidR="00C963D1" w:rsidRDefault="00C963D1" w:rsidP="00C963D1">
      <w:pPr>
        <w:keepNext/>
        <w:jc w:val="center"/>
      </w:pPr>
      <w:r>
        <w:rPr>
          <w:noProof/>
        </w:rPr>
        <w:drawing>
          <wp:inline distT="0" distB="0" distL="0" distR="0" wp14:anchorId="6DF8ED41" wp14:editId="06D35C25">
            <wp:extent cx="1820849" cy="1858200"/>
            <wp:effectExtent l="0" t="0" r="825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860109" cy="1898265"/>
                    </a:xfrm>
                    <a:prstGeom prst="rect">
                      <a:avLst/>
                    </a:prstGeom>
                  </pic:spPr>
                </pic:pic>
              </a:graphicData>
            </a:graphic>
          </wp:inline>
        </w:drawing>
      </w:r>
    </w:p>
    <w:p w:rsidR="00022A42" w:rsidRPr="00EC5E0E" w:rsidRDefault="00C963D1" w:rsidP="00C963D1">
      <w:pPr>
        <w:pStyle w:val="Caption"/>
        <w:jc w:val="center"/>
        <w:rPr>
          <w:b/>
          <w:color w:val="auto"/>
          <w:sz w:val="20"/>
        </w:rPr>
      </w:pPr>
      <w:bookmarkStart w:id="0" w:name="_Ref500847098"/>
      <w:r w:rsidRPr="00EC5E0E">
        <w:rPr>
          <w:b/>
          <w:color w:val="auto"/>
          <w:sz w:val="20"/>
        </w:rPr>
        <w:t xml:space="preserve">Figure </w:t>
      </w:r>
      <w:r w:rsidRPr="00EC5E0E">
        <w:rPr>
          <w:b/>
          <w:color w:val="auto"/>
          <w:sz w:val="20"/>
        </w:rPr>
        <w:fldChar w:fldCharType="begin"/>
      </w:r>
      <w:r w:rsidRPr="00EC5E0E">
        <w:rPr>
          <w:b/>
          <w:color w:val="auto"/>
          <w:sz w:val="20"/>
        </w:rPr>
        <w:instrText xml:space="preserve"> SEQ Figure \* ARABIC </w:instrText>
      </w:r>
      <w:r w:rsidRPr="00EC5E0E">
        <w:rPr>
          <w:b/>
          <w:color w:val="auto"/>
          <w:sz w:val="20"/>
        </w:rPr>
        <w:fldChar w:fldCharType="separate"/>
      </w:r>
      <w:r w:rsidR="005D5E2F">
        <w:rPr>
          <w:b/>
          <w:noProof/>
          <w:color w:val="auto"/>
          <w:sz w:val="20"/>
        </w:rPr>
        <w:t>1</w:t>
      </w:r>
      <w:r w:rsidRPr="00EC5E0E">
        <w:rPr>
          <w:b/>
          <w:color w:val="auto"/>
          <w:sz w:val="20"/>
        </w:rPr>
        <w:fldChar w:fldCharType="end"/>
      </w:r>
      <w:bookmarkEnd w:id="0"/>
      <w:r w:rsidRPr="00EC5E0E">
        <w:rPr>
          <w:b/>
          <w:color w:val="auto"/>
          <w:sz w:val="20"/>
        </w:rPr>
        <w:t xml:space="preserve"> - Beam Cross Section Factors</w:t>
      </w:r>
    </w:p>
    <w:p w:rsidR="00022A42" w:rsidRDefault="003036DB" w:rsidP="005E0623">
      <w:pPr>
        <w:ind w:firstLine="720"/>
        <w:rPr>
          <w:rFonts w:eastAsiaTheme="minorEastAsia"/>
        </w:rPr>
      </w:pPr>
      <w:r>
        <w:t xml:space="preserve">For these four factors, </w:t>
      </w:r>
      <w:r w:rsidR="005E0623">
        <w:t>a range o</w:t>
      </w:r>
      <w:r w:rsidR="00231EF4">
        <w:t xml:space="preserve">f high and low values were provided. Note that dimension </w:t>
      </w:r>
      <m:oMath>
        <m:r>
          <w:rPr>
            <w:rFonts w:ascii="Cambria Math" w:hAnsi="Cambria Math"/>
          </w:rPr>
          <m:t>b</m:t>
        </m:r>
      </m:oMath>
      <w:r w:rsidR="00231EF4">
        <w:rPr>
          <w:rFonts w:eastAsiaTheme="minorEastAsia"/>
        </w:rPr>
        <w:t xml:space="preserve"> is held constant at 5 mm. </w:t>
      </w:r>
      <w:r w:rsidR="00326FDB">
        <w:rPr>
          <w:rFonts w:eastAsiaTheme="minorEastAsia"/>
        </w:rPr>
        <w:t xml:space="preserve">The other factors were selected as shown in </w:t>
      </w:r>
      <w:r w:rsidR="003266A5">
        <w:rPr>
          <w:rFonts w:eastAsiaTheme="minorEastAsia"/>
        </w:rPr>
        <w:fldChar w:fldCharType="begin"/>
      </w:r>
      <w:r w:rsidR="003266A5">
        <w:rPr>
          <w:rFonts w:eastAsiaTheme="minorEastAsia"/>
        </w:rPr>
        <w:instrText xml:space="preserve"> REF _Ref500847876 \h </w:instrText>
      </w:r>
      <w:r w:rsidR="003266A5">
        <w:rPr>
          <w:rFonts w:eastAsiaTheme="minorEastAsia"/>
        </w:rPr>
      </w:r>
      <w:r w:rsidR="003266A5">
        <w:rPr>
          <w:rFonts w:eastAsiaTheme="minorEastAsia"/>
        </w:rPr>
        <w:fldChar w:fldCharType="separate"/>
      </w:r>
      <w:r w:rsidR="003266A5" w:rsidRPr="00326FDB">
        <w:t xml:space="preserve">Table </w:t>
      </w:r>
      <w:r w:rsidR="003266A5" w:rsidRPr="00326FDB">
        <w:rPr>
          <w:noProof/>
        </w:rPr>
        <w:t>1</w:t>
      </w:r>
      <w:r w:rsidR="003266A5">
        <w:rPr>
          <w:rFonts w:eastAsiaTheme="minorEastAsia"/>
        </w:rPr>
        <w:fldChar w:fldCharType="end"/>
      </w:r>
      <w:r w:rsidR="003266A5">
        <w:rPr>
          <w:rFonts w:eastAsiaTheme="minorEastAsia"/>
        </w:rPr>
        <w:t>.</w:t>
      </w:r>
    </w:p>
    <w:p w:rsidR="00326FDB" w:rsidRPr="00EC5E0E" w:rsidRDefault="00326FDB" w:rsidP="00326FDB">
      <w:pPr>
        <w:pStyle w:val="Caption"/>
        <w:keepNext/>
        <w:jc w:val="center"/>
        <w:rPr>
          <w:b/>
          <w:color w:val="auto"/>
          <w:sz w:val="20"/>
        </w:rPr>
      </w:pPr>
      <w:bookmarkStart w:id="1" w:name="_Ref500847876"/>
      <w:r w:rsidRPr="00EC5E0E">
        <w:rPr>
          <w:b/>
          <w:color w:val="auto"/>
          <w:sz w:val="20"/>
        </w:rPr>
        <w:t xml:space="preserve">Table </w:t>
      </w:r>
      <w:r w:rsidRPr="00EC5E0E">
        <w:rPr>
          <w:b/>
          <w:color w:val="auto"/>
          <w:sz w:val="20"/>
        </w:rPr>
        <w:fldChar w:fldCharType="begin"/>
      </w:r>
      <w:r w:rsidRPr="00EC5E0E">
        <w:rPr>
          <w:b/>
          <w:color w:val="auto"/>
          <w:sz w:val="20"/>
        </w:rPr>
        <w:instrText xml:space="preserve"> SEQ Table \* ARABIC </w:instrText>
      </w:r>
      <w:r w:rsidRPr="00EC5E0E">
        <w:rPr>
          <w:b/>
          <w:color w:val="auto"/>
          <w:sz w:val="20"/>
        </w:rPr>
        <w:fldChar w:fldCharType="separate"/>
      </w:r>
      <w:r w:rsidRPr="00EC5E0E">
        <w:rPr>
          <w:b/>
          <w:noProof/>
          <w:color w:val="auto"/>
          <w:sz w:val="20"/>
        </w:rPr>
        <w:t>1</w:t>
      </w:r>
      <w:r w:rsidRPr="00EC5E0E">
        <w:rPr>
          <w:b/>
          <w:color w:val="auto"/>
          <w:sz w:val="20"/>
        </w:rPr>
        <w:fldChar w:fldCharType="end"/>
      </w:r>
      <w:bookmarkEnd w:id="1"/>
      <w:r w:rsidRPr="00EC5E0E">
        <w:rPr>
          <w:b/>
          <w:color w:val="auto"/>
          <w:sz w:val="20"/>
        </w:rPr>
        <w:t xml:space="preserve"> - Design Factors</w:t>
      </w:r>
    </w:p>
    <w:tbl>
      <w:tblPr>
        <w:tblStyle w:val="TableGrid"/>
        <w:tblW w:w="0" w:type="auto"/>
        <w:jc w:val="center"/>
        <w:tblLook w:val="04A0" w:firstRow="1" w:lastRow="0" w:firstColumn="1" w:lastColumn="0" w:noHBand="0" w:noVBand="1"/>
      </w:tblPr>
      <w:tblGrid>
        <w:gridCol w:w="1016"/>
        <w:gridCol w:w="1450"/>
        <w:gridCol w:w="1503"/>
      </w:tblGrid>
      <w:tr w:rsidR="00074133" w:rsidTr="00074133">
        <w:trPr>
          <w:jc w:val="center"/>
        </w:trPr>
        <w:tc>
          <w:tcPr>
            <w:tcW w:w="1016" w:type="dxa"/>
          </w:tcPr>
          <w:p w:rsidR="00074133" w:rsidRPr="00074133" w:rsidRDefault="00074133" w:rsidP="00074133">
            <w:pPr>
              <w:jc w:val="center"/>
              <w:rPr>
                <w:b/>
              </w:rPr>
            </w:pPr>
            <w:r w:rsidRPr="00074133">
              <w:rPr>
                <w:b/>
              </w:rPr>
              <w:t>Factor</w:t>
            </w:r>
          </w:p>
        </w:tc>
        <w:tc>
          <w:tcPr>
            <w:tcW w:w="1450" w:type="dxa"/>
          </w:tcPr>
          <w:p w:rsidR="00074133" w:rsidRPr="00074133" w:rsidRDefault="00074133" w:rsidP="00074133">
            <w:pPr>
              <w:jc w:val="center"/>
              <w:rPr>
                <w:b/>
              </w:rPr>
            </w:pPr>
            <w:r w:rsidRPr="00074133">
              <w:rPr>
                <w:b/>
              </w:rPr>
              <w:t>Low Value</w:t>
            </w:r>
          </w:p>
        </w:tc>
        <w:tc>
          <w:tcPr>
            <w:tcW w:w="1503" w:type="dxa"/>
          </w:tcPr>
          <w:p w:rsidR="00074133" w:rsidRPr="00074133" w:rsidRDefault="00074133" w:rsidP="00074133">
            <w:pPr>
              <w:jc w:val="center"/>
              <w:rPr>
                <w:b/>
              </w:rPr>
            </w:pPr>
            <w:r w:rsidRPr="00074133">
              <w:rPr>
                <w:b/>
              </w:rPr>
              <w:t>High Value</w:t>
            </w:r>
          </w:p>
        </w:tc>
      </w:tr>
      <w:tr w:rsidR="00074133" w:rsidTr="00074133">
        <w:trPr>
          <w:jc w:val="center"/>
        </w:trPr>
        <w:tc>
          <w:tcPr>
            <w:tcW w:w="1016" w:type="dxa"/>
          </w:tcPr>
          <w:p w:rsidR="00074133" w:rsidRDefault="00074133" w:rsidP="00074133">
            <w:pPr>
              <w:jc w:val="center"/>
            </w:pPr>
            <w:r>
              <w:t>a</w:t>
            </w:r>
          </w:p>
        </w:tc>
        <w:tc>
          <w:tcPr>
            <w:tcW w:w="1450" w:type="dxa"/>
          </w:tcPr>
          <w:p w:rsidR="00074133" w:rsidRDefault="00074133" w:rsidP="00074133">
            <w:pPr>
              <w:jc w:val="center"/>
            </w:pPr>
            <w:r>
              <w:t>10 mm</w:t>
            </w:r>
          </w:p>
        </w:tc>
        <w:tc>
          <w:tcPr>
            <w:tcW w:w="1503" w:type="dxa"/>
          </w:tcPr>
          <w:p w:rsidR="00074133" w:rsidRDefault="00074133" w:rsidP="00074133">
            <w:pPr>
              <w:jc w:val="center"/>
            </w:pPr>
            <w:r>
              <w:t>20 mm</w:t>
            </w:r>
          </w:p>
        </w:tc>
      </w:tr>
      <w:tr w:rsidR="00074133" w:rsidTr="00074133">
        <w:trPr>
          <w:jc w:val="center"/>
        </w:trPr>
        <w:tc>
          <w:tcPr>
            <w:tcW w:w="1016" w:type="dxa"/>
          </w:tcPr>
          <w:p w:rsidR="00074133" w:rsidRDefault="00074133" w:rsidP="00074133">
            <w:pPr>
              <w:jc w:val="center"/>
            </w:pPr>
            <w:r>
              <w:t>c</w:t>
            </w:r>
          </w:p>
        </w:tc>
        <w:tc>
          <w:tcPr>
            <w:tcW w:w="1450" w:type="dxa"/>
          </w:tcPr>
          <w:p w:rsidR="00074133" w:rsidRDefault="00074133" w:rsidP="00074133">
            <w:pPr>
              <w:jc w:val="center"/>
            </w:pPr>
            <w:r>
              <w:t>5 mm</w:t>
            </w:r>
          </w:p>
        </w:tc>
        <w:tc>
          <w:tcPr>
            <w:tcW w:w="1503" w:type="dxa"/>
          </w:tcPr>
          <w:p w:rsidR="00074133" w:rsidRDefault="00074133" w:rsidP="00074133">
            <w:pPr>
              <w:jc w:val="center"/>
            </w:pPr>
            <w:r>
              <w:t>20 mm</w:t>
            </w:r>
          </w:p>
        </w:tc>
      </w:tr>
      <w:tr w:rsidR="00074133" w:rsidTr="00074133">
        <w:trPr>
          <w:jc w:val="center"/>
        </w:trPr>
        <w:tc>
          <w:tcPr>
            <w:tcW w:w="1016" w:type="dxa"/>
          </w:tcPr>
          <w:p w:rsidR="00074133" w:rsidRDefault="00074133" w:rsidP="00074133">
            <w:pPr>
              <w:jc w:val="center"/>
            </w:pPr>
            <w:r>
              <w:t>d</w:t>
            </w:r>
          </w:p>
        </w:tc>
        <w:tc>
          <w:tcPr>
            <w:tcW w:w="1450" w:type="dxa"/>
          </w:tcPr>
          <w:p w:rsidR="00074133" w:rsidRDefault="00074133" w:rsidP="00074133">
            <w:pPr>
              <w:jc w:val="center"/>
            </w:pPr>
            <w:r>
              <w:t>4 mm</w:t>
            </w:r>
          </w:p>
        </w:tc>
        <w:tc>
          <w:tcPr>
            <w:tcW w:w="1503" w:type="dxa"/>
          </w:tcPr>
          <w:p w:rsidR="00074133" w:rsidRDefault="00074133" w:rsidP="00074133">
            <w:pPr>
              <w:jc w:val="center"/>
            </w:pPr>
            <w:r>
              <w:t>8 mm</w:t>
            </w:r>
          </w:p>
        </w:tc>
      </w:tr>
    </w:tbl>
    <w:p w:rsidR="00326FDB" w:rsidRDefault="00326FDB" w:rsidP="00522A1D"/>
    <w:p w:rsidR="00B500E4" w:rsidRDefault="00B500E4" w:rsidP="00B500E4">
      <w:pPr>
        <w:ind w:firstLine="720"/>
      </w:pPr>
      <w:r>
        <w:t xml:space="preserve">In order to test the factors above, the beam will be subjected to a distributed load until it yields. The load will be increased until yielding occurs as a function of the material properties. The setup for the testing is shown </w:t>
      </w:r>
      <w:r w:rsidRPr="00D525F6">
        <w:rPr>
          <w:szCs w:val="24"/>
        </w:rPr>
        <w:t xml:space="preserve">in </w:t>
      </w:r>
      <w:r w:rsidR="00D525F6" w:rsidRPr="00D525F6">
        <w:rPr>
          <w:szCs w:val="24"/>
        </w:rPr>
        <w:fldChar w:fldCharType="begin"/>
      </w:r>
      <w:r w:rsidR="00D525F6" w:rsidRPr="00D525F6">
        <w:rPr>
          <w:szCs w:val="24"/>
        </w:rPr>
        <w:instrText xml:space="preserve"> REF _Ref500852214 \h </w:instrText>
      </w:r>
      <w:r w:rsidR="00D525F6" w:rsidRPr="00D525F6">
        <w:rPr>
          <w:szCs w:val="24"/>
        </w:rPr>
      </w:r>
      <w:r w:rsidR="00D525F6" w:rsidRPr="00D525F6">
        <w:rPr>
          <w:szCs w:val="24"/>
        </w:rPr>
        <w:instrText xml:space="preserve"> \* MERGEFORMAT </w:instrText>
      </w:r>
      <w:r w:rsidR="00D525F6" w:rsidRPr="00D525F6">
        <w:rPr>
          <w:szCs w:val="24"/>
        </w:rPr>
        <w:fldChar w:fldCharType="separate"/>
      </w:r>
      <w:r w:rsidR="00D525F6" w:rsidRPr="00D525F6">
        <w:rPr>
          <w:szCs w:val="24"/>
        </w:rPr>
        <w:t xml:space="preserve">Figure </w:t>
      </w:r>
      <w:r w:rsidR="00D525F6" w:rsidRPr="00D525F6">
        <w:rPr>
          <w:noProof/>
          <w:szCs w:val="24"/>
        </w:rPr>
        <w:t>2</w:t>
      </w:r>
      <w:r w:rsidR="00D525F6" w:rsidRPr="00D525F6">
        <w:rPr>
          <w:szCs w:val="24"/>
        </w:rPr>
        <w:fldChar w:fldCharType="end"/>
      </w:r>
      <w:r>
        <w:t>.</w:t>
      </w:r>
      <w:r w:rsidR="00133297">
        <w:t xml:space="preserve"> </w:t>
      </w:r>
    </w:p>
    <w:p w:rsidR="00552016" w:rsidRDefault="00552016" w:rsidP="00552016">
      <w:pPr>
        <w:keepNext/>
        <w:jc w:val="center"/>
      </w:pPr>
      <w:r>
        <w:rPr>
          <w:noProof/>
        </w:rPr>
        <w:lastRenderedPageBreak/>
        <w:drawing>
          <wp:inline distT="0" distB="0" distL="0" distR="0" wp14:anchorId="01645AF9" wp14:editId="5E5E93BA">
            <wp:extent cx="4708645" cy="148660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b="1759"/>
                    <a:stretch/>
                  </pic:blipFill>
                  <pic:spPr bwMode="auto">
                    <a:xfrm>
                      <a:off x="0" y="0"/>
                      <a:ext cx="4730467" cy="1493491"/>
                    </a:xfrm>
                    <a:prstGeom prst="rect">
                      <a:avLst/>
                    </a:prstGeom>
                    <a:ln>
                      <a:noFill/>
                    </a:ln>
                    <a:extLst>
                      <a:ext uri="{53640926-AAD7-44D8-BBD7-CCE9431645EC}">
                        <a14:shadowObscured xmlns:a14="http://schemas.microsoft.com/office/drawing/2010/main"/>
                      </a:ext>
                    </a:extLst>
                  </pic:spPr>
                </pic:pic>
              </a:graphicData>
            </a:graphic>
          </wp:inline>
        </w:drawing>
      </w:r>
    </w:p>
    <w:p w:rsidR="00B500E4" w:rsidRDefault="00552016" w:rsidP="00552016">
      <w:pPr>
        <w:pStyle w:val="Caption"/>
        <w:jc w:val="center"/>
        <w:rPr>
          <w:b/>
          <w:color w:val="auto"/>
          <w:sz w:val="20"/>
        </w:rPr>
      </w:pPr>
      <w:bookmarkStart w:id="2" w:name="_Ref500852214"/>
      <w:r w:rsidRPr="00321E65">
        <w:rPr>
          <w:b/>
          <w:color w:val="auto"/>
          <w:sz w:val="20"/>
        </w:rPr>
        <w:t xml:space="preserve">Figure </w:t>
      </w:r>
      <w:r w:rsidRPr="00321E65">
        <w:rPr>
          <w:b/>
          <w:color w:val="auto"/>
          <w:sz w:val="20"/>
        </w:rPr>
        <w:fldChar w:fldCharType="begin"/>
      </w:r>
      <w:r w:rsidRPr="00321E65">
        <w:rPr>
          <w:b/>
          <w:color w:val="auto"/>
          <w:sz w:val="20"/>
        </w:rPr>
        <w:instrText xml:space="preserve"> SEQ Figure \* ARABIC </w:instrText>
      </w:r>
      <w:r w:rsidRPr="00321E65">
        <w:rPr>
          <w:b/>
          <w:color w:val="auto"/>
          <w:sz w:val="20"/>
        </w:rPr>
        <w:fldChar w:fldCharType="separate"/>
      </w:r>
      <w:r w:rsidR="005D5E2F">
        <w:rPr>
          <w:b/>
          <w:noProof/>
          <w:color w:val="auto"/>
          <w:sz w:val="20"/>
        </w:rPr>
        <w:t>2</w:t>
      </w:r>
      <w:r w:rsidRPr="00321E65">
        <w:rPr>
          <w:b/>
          <w:color w:val="auto"/>
          <w:sz w:val="20"/>
        </w:rPr>
        <w:fldChar w:fldCharType="end"/>
      </w:r>
      <w:bookmarkEnd w:id="2"/>
      <w:r w:rsidRPr="00321E65">
        <w:rPr>
          <w:b/>
          <w:color w:val="auto"/>
          <w:sz w:val="20"/>
        </w:rPr>
        <w:t xml:space="preserve"> - Beam Testing Configuration</w:t>
      </w:r>
    </w:p>
    <w:p w:rsidR="00367974" w:rsidRPr="00367974" w:rsidRDefault="00367974" w:rsidP="000B4BAF">
      <w:pPr>
        <w:ind w:firstLine="720"/>
      </w:pPr>
      <w:r>
        <w:t xml:space="preserve">Using the testing configuration shown, the simply supported beam will be subjected to severe bending stresses at the midpoint of the span. </w:t>
      </w:r>
      <w:r w:rsidR="00FB407F">
        <w:t xml:space="preserve">Once these bending stresses exceed the material strength, the beam undergoes yielding, resulting in plastic deformation. </w:t>
      </w:r>
      <w:r w:rsidR="00CB2FCD">
        <w:t xml:space="preserve">The goal of this experiment is to maximize the load force until yielding occurs. </w:t>
      </w:r>
    </w:p>
    <w:p w:rsidR="00A6716D" w:rsidRDefault="00730EAE" w:rsidP="000B4BAF">
      <w:pPr>
        <w:ind w:firstLine="720"/>
      </w:pPr>
      <w:r>
        <w:t xml:space="preserve">To </w:t>
      </w:r>
      <w:r w:rsidR="00B500E4">
        <w:t>help determine which of the factors above contributes the most to strength and weight,</w:t>
      </w:r>
      <w:r w:rsidR="000B4BAF">
        <w:t xml:space="preserve"> a response screening design was constructed</w:t>
      </w:r>
      <w:r w:rsidR="000444B9">
        <w:t xml:space="preserve"> using JMP</w:t>
      </w:r>
      <w:r w:rsidR="000B4BAF">
        <w:t>.</w:t>
      </w:r>
      <w:r w:rsidR="000444B9">
        <w:t xml:space="preserve"> </w:t>
      </w:r>
      <w:r w:rsidR="00B500E4">
        <w:t xml:space="preserve"> </w:t>
      </w:r>
      <w:r w:rsidR="009354BE">
        <w:t>For this design, a custom DOE model was created</w:t>
      </w:r>
      <w:r w:rsidR="0061051A">
        <w:t xml:space="preserve"> with the responses and factors shown in </w:t>
      </w:r>
      <w:r w:rsidR="0061051A">
        <w:fldChar w:fldCharType="begin"/>
      </w:r>
      <w:r w:rsidR="0061051A">
        <w:instrText xml:space="preserve"> REF _Ref500852993 \h </w:instrText>
      </w:r>
      <w:r w:rsidR="0061051A">
        <w:instrText xml:space="preserve"> \* MERGEFORMAT </w:instrText>
      </w:r>
      <w:r w:rsidR="0061051A">
        <w:fldChar w:fldCharType="separate"/>
      </w:r>
      <w:r w:rsidR="0061051A" w:rsidRPr="0061051A">
        <w:t>Figure 3</w:t>
      </w:r>
      <w:r w:rsidR="0061051A">
        <w:fldChar w:fldCharType="end"/>
      </w:r>
      <w:r w:rsidR="009354BE">
        <w:t>.</w:t>
      </w:r>
      <w:r w:rsidR="00D80CAC">
        <w:t xml:space="preserve"> The design also incorporated 12 randomized runs with no center points.</w:t>
      </w:r>
    </w:p>
    <w:p w:rsidR="00A413E6" w:rsidRDefault="00A413E6" w:rsidP="00A413E6">
      <w:pPr>
        <w:keepNext/>
        <w:ind w:firstLine="720"/>
        <w:jc w:val="center"/>
      </w:pPr>
      <w:r>
        <w:rPr>
          <w:noProof/>
        </w:rPr>
        <w:drawing>
          <wp:inline distT="0" distB="0" distL="0" distR="0" wp14:anchorId="1AFE1D9F" wp14:editId="2474146D">
            <wp:extent cx="4856672" cy="1971726"/>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78514" cy="1980593"/>
                    </a:xfrm>
                    <a:prstGeom prst="rect">
                      <a:avLst/>
                    </a:prstGeom>
                  </pic:spPr>
                </pic:pic>
              </a:graphicData>
            </a:graphic>
          </wp:inline>
        </w:drawing>
      </w:r>
    </w:p>
    <w:p w:rsidR="00A413E6" w:rsidRPr="00606C21" w:rsidRDefault="00A413E6" w:rsidP="00A413E6">
      <w:pPr>
        <w:pStyle w:val="Caption"/>
        <w:jc w:val="center"/>
        <w:rPr>
          <w:b/>
          <w:noProof/>
          <w:color w:val="auto"/>
          <w:sz w:val="20"/>
        </w:rPr>
      </w:pPr>
      <w:bookmarkStart w:id="3" w:name="_Ref500852993"/>
      <w:r w:rsidRPr="00606C21">
        <w:rPr>
          <w:b/>
          <w:color w:val="auto"/>
          <w:sz w:val="20"/>
        </w:rPr>
        <w:t xml:space="preserve">Figure </w:t>
      </w:r>
      <w:r w:rsidRPr="00606C21">
        <w:rPr>
          <w:b/>
          <w:color w:val="auto"/>
          <w:sz w:val="20"/>
        </w:rPr>
        <w:fldChar w:fldCharType="begin"/>
      </w:r>
      <w:r w:rsidRPr="00606C21">
        <w:rPr>
          <w:b/>
          <w:color w:val="auto"/>
          <w:sz w:val="20"/>
        </w:rPr>
        <w:instrText xml:space="preserve"> SEQ Figure \* ARABIC </w:instrText>
      </w:r>
      <w:r w:rsidRPr="00606C21">
        <w:rPr>
          <w:b/>
          <w:color w:val="auto"/>
          <w:sz w:val="20"/>
        </w:rPr>
        <w:fldChar w:fldCharType="separate"/>
      </w:r>
      <w:r w:rsidR="005D5E2F">
        <w:rPr>
          <w:b/>
          <w:noProof/>
          <w:color w:val="auto"/>
          <w:sz w:val="20"/>
        </w:rPr>
        <w:t>3</w:t>
      </w:r>
      <w:r w:rsidRPr="00606C21">
        <w:rPr>
          <w:b/>
          <w:color w:val="auto"/>
          <w:sz w:val="20"/>
        </w:rPr>
        <w:fldChar w:fldCharType="end"/>
      </w:r>
      <w:bookmarkEnd w:id="3"/>
      <w:r w:rsidRPr="00606C21">
        <w:rPr>
          <w:b/>
          <w:color w:val="auto"/>
          <w:sz w:val="20"/>
        </w:rPr>
        <w:t xml:space="preserve"> - </w:t>
      </w:r>
      <w:r w:rsidRPr="00606C21">
        <w:rPr>
          <w:b/>
          <w:noProof/>
          <w:color w:val="auto"/>
          <w:sz w:val="20"/>
        </w:rPr>
        <w:t>Custom Design Constraints</w:t>
      </w:r>
    </w:p>
    <w:p w:rsidR="0015224D" w:rsidRDefault="00D80CAC" w:rsidP="003C4B50">
      <w:r>
        <w:t xml:space="preserve">For this design, pure orthogonality is desired, therefore the alias matrix </w:t>
      </w:r>
      <w:r w:rsidR="00AF172B">
        <w:t xml:space="preserve">output was </w:t>
      </w:r>
      <w:r>
        <w:t>checked</w:t>
      </w:r>
      <w:r w:rsidR="00AF172B">
        <w:t xml:space="preserve">. </w:t>
      </w:r>
    </w:p>
    <w:p w:rsidR="00AF172B" w:rsidRDefault="00AF172B" w:rsidP="00AF172B">
      <w:pPr>
        <w:keepNext/>
        <w:jc w:val="center"/>
      </w:pPr>
      <w:r>
        <w:rPr>
          <w:noProof/>
        </w:rPr>
        <w:drawing>
          <wp:inline distT="0" distB="0" distL="0" distR="0" wp14:anchorId="46ADAFAE" wp14:editId="12877970">
            <wp:extent cx="3295291" cy="116221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51331" cy="1181975"/>
                    </a:xfrm>
                    <a:prstGeom prst="rect">
                      <a:avLst/>
                    </a:prstGeom>
                  </pic:spPr>
                </pic:pic>
              </a:graphicData>
            </a:graphic>
          </wp:inline>
        </w:drawing>
      </w:r>
    </w:p>
    <w:p w:rsidR="00AF172B" w:rsidRDefault="00AF172B" w:rsidP="00AF172B">
      <w:pPr>
        <w:pStyle w:val="Caption"/>
        <w:jc w:val="center"/>
        <w:rPr>
          <w:b/>
          <w:color w:val="auto"/>
          <w:sz w:val="20"/>
        </w:rPr>
      </w:pPr>
      <w:r w:rsidRPr="00AF172B">
        <w:rPr>
          <w:b/>
          <w:color w:val="auto"/>
          <w:sz w:val="20"/>
        </w:rPr>
        <w:t xml:space="preserve">Figure </w:t>
      </w:r>
      <w:r w:rsidRPr="00AF172B">
        <w:rPr>
          <w:b/>
          <w:color w:val="auto"/>
          <w:sz w:val="20"/>
        </w:rPr>
        <w:fldChar w:fldCharType="begin"/>
      </w:r>
      <w:r w:rsidRPr="00AF172B">
        <w:rPr>
          <w:b/>
          <w:color w:val="auto"/>
          <w:sz w:val="20"/>
        </w:rPr>
        <w:instrText xml:space="preserve"> SEQ Figure \* ARABIC </w:instrText>
      </w:r>
      <w:r w:rsidRPr="00AF172B">
        <w:rPr>
          <w:b/>
          <w:color w:val="auto"/>
          <w:sz w:val="20"/>
        </w:rPr>
        <w:fldChar w:fldCharType="separate"/>
      </w:r>
      <w:r w:rsidR="005D5E2F">
        <w:rPr>
          <w:b/>
          <w:noProof/>
          <w:color w:val="auto"/>
          <w:sz w:val="20"/>
        </w:rPr>
        <w:t>4</w:t>
      </w:r>
      <w:r w:rsidRPr="00AF172B">
        <w:rPr>
          <w:b/>
          <w:color w:val="auto"/>
          <w:sz w:val="20"/>
        </w:rPr>
        <w:fldChar w:fldCharType="end"/>
      </w:r>
      <w:r w:rsidRPr="00AF172B">
        <w:rPr>
          <w:b/>
          <w:color w:val="auto"/>
          <w:sz w:val="20"/>
        </w:rPr>
        <w:t xml:space="preserve"> - Design Aliasing Matrix</w:t>
      </w:r>
    </w:p>
    <w:p w:rsidR="009972D6" w:rsidRDefault="004E0CA2" w:rsidP="009972D6">
      <w:r>
        <w:lastRenderedPageBreak/>
        <w:t xml:space="preserve">With the custom design completed, the </w:t>
      </w:r>
      <w:r w:rsidR="0013269E">
        <w:t xml:space="preserve">experimental responses were determined. It was intended that the various beam cross section options would be physically tested. To accomplish this, each of the designs </w:t>
      </w:r>
      <w:r w:rsidR="009640FD">
        <w:t>were</w:t>
      </w:r>
      <w:r w:rsidR="0013269E">
        <w:t xml:space="preserve"> 3D printed and produced as shown in </w:t>
      </w:r>
      <w:r w:rsidR="00033E1C">
        <w:fldChar w:fldCharType="begin"/>
      </w:r>
      <w:r w:rsidR="00033E1C">
        <w:instrText xml:space="preserve"> REF _Ref500853712 \h </w:instrText>
      </w:r>
      <w:r w:rsidR="00033E1C">
        <w:instrText xml:space="preserve"> \* MERGEFORMAT </w:instrText>
      </w:r>
      <w:r w:rsidR="00033E1C">
        <w:fldChar w:fldCharType="separate"/>
      </w:r>
      <w:r w:rsidR="00033E1C" w:rsidRPr="00033E1C">
        <w:t>Figure 5</w:t>
      </w:r>
      <w:r w:rsidR="00033E1C">
        <w:fldChar w:fldCharType="end"/>
      </w:r>
      <w:r w:rsidR="0013269E">
        <w:t xml:space="preserve">. </w:t>
      </w:r>
    </w:p>
    <w:p w:rsidR="00342DFE" w:rsidRDefault="0096601A" w:rsidP="00E521ED">
      <w:pPr>
        <w:jc w:val="center"/>
      </w:pPr>
      <w:r>
        <w:rPr>
          <w:noProof/>
        </w:rPr>
        <w:drawing>
          <wp:inline distT="0" distB="0" distL="0" distR="0">
            <wp:extent cx="4235570" cy="2382507"/>
            <wp:effectExtent l="0" t="0" r="0" b="3175"/>
            <wp:docPr id="8" name="Picture 8" descr="A picture containing red, tabl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G_20171211_164248.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235570" cy="2382507"/>
                    </a:xfrm>
                    <a:prstGeom prst="rect">
                      <a:avLst/>
                    </a:prstGeom>
                  </pic:spPr>
                </pic:pic>
              </a:graphicData>
            </a:graphic>
          </wp:inline>
        </w:drawing>
      </w:r>
    </w:p>
    <w:p w:rsidR="0096601A" w:rsidRDefault="00342DFE" w:rsidP="00342DFE">
      <w:pPr>
        <w:pStyle w:val="Caption"/>
        <w:jc w:val="center"/>
        <w:rPr>
          <w:b/>
          <w:color w:val="auto"/>
          <w:sz w:val="20"/>
        </w:rPr>
      </w:pPr>
      <w:bookmarkStart w:id="4" w:name="_Ref500853712"/>
      <w:r w:rsidRPr="00342DFE">
        <w:rPr>
          <w:b/>
          <w:color w:val="auto"/>
          <w:sz w:val="20"/>
        </w:rPr>
        <w:t xml:space="preserve">Figure </w:t>
      </w:r>
      <w:r w:rsidRPr="00342DFE">
        <w:rPr>
          <w:b/>
          <w:color w:val="auto"/>
          <w:sz w:val="20"/>
        </w:rPr>
        <w:fldChar w:fldCharType="begin"/>
      </w:r>
      <w:r w:rsidRPr="00342DFE">
        <w:rPr>
          <w:b/>
          <w:color w:val="auto"/>
          <w:sz w:val="20"/>
        </w:rPr>
        <w:instrText xml:space="preserve"> SEQ Figure \* ARABIC </w:instrText>
      </w:r>
      <w:r w:rsidRPr="00342DFE">
        <w:rPr>
          <w:b/>
          <w:color w:val="auto"/>
          <w:sz w:val="20"/>
        </w:rPr>
        <w:fldChar w:fldCharType="separate"/>
      </w:r>
      <w:r w:rsidR="005D5E2F">
        <w:rPr>
          <w:b/>
          <w:noProof/>
          <w:color w:val="auto"/>
          <w:sz w:val="20"/>
        </w:rPr>
        <w:t>5</w:t>
      </w:r>
      <w:r w:rsidRPr="00342DFE">
        <w:rPr>
          <w:b/>
          <w:color w:val="auto"/>
          <w:sz w:val="20"/>
        </w:rPr>
        <w:fldChar w:fldCharType="end"/>
      </w:r>
      <w:bookmarkEnd w:id="4"/>
      <w:r w:rsidRPr="00342DFE">
        <w:rPr>
          <w:b/>
          <w:color w:val="auto"/>
          <w:sz w:val="20"/>
        </w:rPr>
        <w:t xml:space="preserve"> - 3D Printed Beams</w:t>
      </w:r>
    </w:p>
    <w:p w:rsidR="00662160" w:rsidRDefault="00AB2882" w:rsidP="00AB2882">
      <w:pPr>
        <w:ind w:firstLine="720"/>
      </w:pPr>
      <w:r>
        <w:t>After handling the 3D printed parts, it became clear that testing them would be difficult. The stiffness of the beams exceeded our expectations. It was expected that the beams would yield at low load values, perhaps of between 1 to 10 kg, however the physical models were able to withstand substantially more load. In order to make progress with experimental results, the experimental results were obtained by other means. Instead of physical testing, the parts were analyzed in simulation using SolidWorks. For these simulations, the load was increased until yielding occurred.</w:t>
      </w:r>
      <w:r w:rsidR="002825F7">
        <w:t xml:space="preserve"> This provided a reliable experimental response to be used in response screening.</w:t>
      </w:r>
      <w:r w:rsidR="005A2055">
        <w:t xml:space="preserve"> An example of the simulation output can be seen in</w:t>
      </w:r>
      <w:r w:rsidR="005D5E2F">
        <w:t xml:space="preserve"> </w:t>
      </w:r>
      <w:r w:rsidR="005D5E2F">
        <w:fldChar w:fldCharType="begin"/>
      </w:r>
      <w:r w:rsidR="005D5E2F">
        <w:instrText xml:space="preserve"> REF _Ref500857429 \h </w:instrText>
      </w:r>
      <w:r w:rsidR="00906259">
        <w:instrText xml:space="preserve"> \* MERGEFORMAT </w:instrText>
      </w:r>
      <w:r w:rsidR="005D5E2F">
        <w:fldChar w:fldCharType="separate"/>
      </w:r>
      <w:r w:rsidR="005D5E2F" w:rsidRPr="00906259">
        <w:t>Figure 6</w:t>
      </w:r>
      <w:r w:rsidR="005D5E2F">
        <w:fldChar w:fldCharType="end"/>
      </w:r>
      <w:r w:rsidR="005A2055">
        <w:t>.</w:t>
      </w:r>
    </w:p>
    <w:p w:rsidR="005D5E2F" w:rsidRDefault="005D5E2F" w:rsidP="005D5E2F">
      <w:pPr>
        <w:keepNext/>
        <w:ind w:firstLine="720"/>
        <w:jc w:val="center"/>
      </w:pPr>
      <w:r>
        <w:rPr>
          <w:noProof/>
        </w:rPr>
        <w:drawing>
          <wp:inline distT="0" distB="0" distL="0" distR="0" wp14:anchorId="79A3805E" wp14:editId="66F6C9A2">
            <wp:extent cx="3333750" cy="288212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45247" cy="2892067"/>
                    </a:xfrm>
                    <a:prstGeom prst="rect">
                      <a:avLst/>
                    </a:prstGeom>
                  </pic:spPr>
                </pic:pic>
              </a:graphicData>
            </a:graphic>
          </wp:inline>
        </w:drawing>
      </w:r>
    </w:p>
    <w:p w:rsidR="005A2055" w:rsidRPr="005D5E2F" w:rsidRDefault="005D5E2F" w:rsidP="005D5E2F">
      <w:pPr>
        <w:pStyle w:val="Caption"/>
        <w:jc w:val="center"/>
        <w:rPr>
          <w:b/>
          <w:color w:val="auto"/>
          <w:sz w:val="20"/>
        </w:rPr>
      </w:pPr>
      <w:bookmarkStart w:id="5" w:name="_Ref500857429"/>
      <w:r w:rsidRPr="005D5E2F">
        <w:rPr>
          <w:b/>
          <w:color w:val="auto"/>
          <w:sz w:val="20"/>
        </w:rPr>
        <w:t xml:space="preserve">Figure </w:t>
      </w:r>
      <w:r w:rsidRPr="005D5E2F">
        <w:rPr>
          <w:b/>
          <w:color w:val="auto"/>
          <w:sz w:val="20"/>
        </w:rPr>
        <w:fldChar w:fldCharType="begin"/>
      </w:r>
      <w:r w:rsidRPr="005D5E2F">
        <w:rPr>
          <w:b/>
          <w:color w:val="auto"/>
          <w:sz w:val="20"/>
        </w:rPr>
        <w:instrText xml:space="preserve"> SEQ Figure \* ARABIC </w:instrText>
      </w:r>
      <w:r w:rsidRPr="005D5E2F">
        <w:rPr>
          <w:b/>
          <w:color w:val="auto"/>
          <w:sz w:val="20"/>
        </w:rPr>
        <w:fldChar w:fldCharType="separate"/>
      </w:r>
      <w:r w:rsidRPr="005D5E2F">
        <w:rPr>
          <w:b/>
          <w:noProof/>
          <w:color w:val="auto"/>
          <w:sz w:val="20"/>
        </w:rPr>
        <w:t>6</w:t>
      </w:r>
      <w:r w:rsidRPr="005D5E2F">
        <w:rPr>
          <w:b/>
          <w:color w:val="auto"/>
          <w:sz w:val="20"/>
        </w:rPr>
        <w:fldChar w:fldCharType="end"/>
      </w:r>
      <w:bookmarkEnd w:id="5"/>
      <w:r w:rsidRPr="005D5E2F">
        <w:rPr>
          <w:b/>
          <w:color w:val="auto"/>
          <w:sz w:val="20"/>
        </w:rPr>
        <w:t xml:space="preserve"> - Simulated Stress Response</w:t>
      </w:r>
    </w:p>
    <w:p w:rsidR="00AB2882" w:rsidRDefault="00662160" w:rsidP="00AB2882">
      <w:pPr>
        <w:ind w:firstLine="720"/>
      </w:pPr>
      <w:r>
        <w:lastRenderedPageBreak/>
        <w:t xml:space="preserve">One potential issue with using this approach is the deterministic nature of the simulations. </w:t>
      </w:r>
      <w:r w:rsidR="00A3303E">
        <w:t>Physical experimentation</w:t>
      </w:r>
      <w:r>
        <w:t xml:space="preserve"> may involve </w:t>
      </w:r>
      <w:r w:rsidR="00A3303E">
        <w:t xml:space="preserve">significant amounts </w:t>
      </w:r>
      <w:r>
        <w:t>of noise and uncertainty. With the well-established analytical solution to beam stress, a governing equation could be used to</w:t>
      </w:r>
      <w:r w:rsidR="00BA5BDB">
        <w:t xml:space="preserve"> </w:t>
      </w:r>
      <w:r>
        <w:t>determine the critical load at yielding. Nevertheless, the experimental analysis was still feasible and continued as planned.</w:t>
      </w:r>
      <w:r w:rsidR="00AB2882">
        <w:t xml:space="preserve"> </w:t>
      </w:r>
    </w:p>
    <w:p w:rsidR="00196ABB" w:rsidRDefault="00B61F03" w:rsidP="00F72814">
      <w:pPr>
        <w:ind w:firstLine="720"/>
      </w:pPr>
      <w:r>
        <w:t>Through the use of JMP, the model of the experiment was created alongside the custom design, resulting in a full factorial screening model. The model was fit for the two responses</w:t>
      </w:r>
      <w:r w:rsidR="006E44B4">
        <w:t>, maximized load and minimized mass,</w:t>
      </w:r>
      <w:r w:rsidR="00E97D0E">
        <w:t xml:space="preserve"> and their </w:t>
      </w:r>
      <w:r w:rsidR="006E44B4">
        <w:t>respective</w:t>
      </w:r>
      <w:r w:rsidR="00E97D0E">
        <w:t xml:space="preserve"> factor contributions</w:t>
      </w:r>
      <w:r>
        <w:t xml:space="preserve">.  </w:t>
      </w:r>
      <w:bookmarkStart w:id="6" w:name="_GoBack"/>
      <w:bookmarkEnd w:id="6"/>
    </w:p>
    <w:p w:rsidR="00196ABB" w:rsidRDefault="00196ABB" w:rsidP="00196ABB">
      <w:pPr>
        <w:rPr>
          <w:b/>
        </w:rPr>
      </w:pPr>
      <w:r w:rsidRPr="00196ABB">
        <w:rPr>
          <w:b/>
        </w:rPr>
        <w:t>Results</w:t>
      </w:r>
    </w:p>
    <w:p w:rsidR="00196ABB" w:rsidRDefault="00196ABB" w:rsidP="00196ABB">
      <w:pPr>
        <w:rPr>
          <w:b/>
        </w:rPr>
      </w:pPr>
    </w:p>
    <w:p w:rsidR="00196ABB" w:rsidRDefault="00196ABB" w:rsidP="00196ABB">
      <w:pPr>
        <w:rPr>
          <w:b/>
        </w:rPr>
      </w:pPr>
      <w:r>
        <w:rPr>
          <w:b/>
        </w:rPr>
        <w:t>Confirmatory Trials</w:t>
      </w:r>
    </w:p>
    <w:p w:rsidR="00196ABB" w:rsidRDefault="00196ABB" w:rsidP="00196ABB">
      <w:pPr>
        <w:rPr>
          <w:b/>
        </w:rPr>
      </w:pPr>
    </w:p>
    <w:p w:rsidR="00196ABB" w:rsidRPr="00196ABB" w:rsidRDefault="00196ABB" w:rsidP="00196ABB">
      <w:pPr>
        <w:rPr>
          <w:b/>
        </w:rPr>
      </w:pPr>
      <w:r w:rsidRPr="00196ABB">
        <w:rPr>
          <w:b/>
        </w:rPr>
        <w:t>Conclusion</w:t>
      </w:r>
    </w:p>
    <w:sectPr w:rsidR="00196ABB" w:rsidRPr="00196A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A42"/>
    <w:rsid w:val="0000488D"/>
    <w:rsid w:val="00022A42"/>
    <w:rsid w:val="00033E1C"/>
    <w:rsid w:val="000444B9"/>
    <w:rsid w:val="00074133"/>
    <w:rsid w:val="000B2391"/>
    <w:rsid w:val="000B4BAF"/>
    <w:rsid w:val="0013269E"/>
    <w:rsid w:val="00133297"/>
    <w:rsid w:val="00136928"/>
    <w:rsid w:val="00145974"/>
    <w:rsid w:val="0015224D"/>
    <w:rsid w:val="00163732"/>
    <w:rsid w:val="0016483B"/>
    <w:rsid w:val="00191C11"/>
    <w:rsid w:val="00196ABB"/>
    <w:rsid w:val="001A42BD"/>
    <w:rsid w:val="001D78E0"/>
    <w:rsid w:val="00231EF4"/>
    <w:rsid w:val="002825F7"/>
    <w:rsid w:val="003036DB"/>
    <w:rsid w:val="00321E65"/>
    <w:rsid w:val="003266A5"/>
    <w:rsid w:val="00326FDB"/>
    <w:rsid w:val="00342DFE"/>
    <w:rsid w:val="00366382"/>
    <w:rsid w:val="00367974"/>
    <w:rsid w:val="003C4B50"/>
    <w:rsid w:val="003E3694"/>
    <w:rsid w:val="003F63C0"/>
    <w:rsid w:val="004259CA"/>
    <w:rsid w:val="00471912"/>
    <w:rsid w:val="004E0CA2"/>
    <w:rsid w:val="004F2DDD"/>
    <w:rsid w:val="00516F20"/>
    <w:rsid w:val="00522A1D"/>
    <w:rsid w:val="00552016"/>
    <w:rsid w:val="005A2055"/>
    <w:rsid w:val="005D5E2F"/>
    <w:rsid w:val="005E0623"/>
    <w:rsid w:val="00606C21"/>
    <w:rsid w:val="0061051A"/>
    <w:rsid w:val="00662160"/>
    <w:rsid w:val="00662DE9"/>
    <w:rsid w:val="00665C74"/>
    <w:rsid w:val="006816EB"/>
    <w:rsid w:val="00696D18"/>
    <w:rsid w:val="006D77B5"/>
    <w:rsid w:val="006E44B4"/>
    <w:rsid w:val="00730EAE"/>
    <w:rsid w:val="00744F32"/>
    <w:rsid w:val="007B115B"/>
    <w:rsid w:val="007E7940"/>
    <w:rsid w:val="00820790"/>
    <w:rsid w:val="008573FD"/>
    <w:rsid w:val="008C2766"/>
    <w:rsid w:val="008F54BF"/>
    <w:rsid w:val="00906259"/>
    <w:rsid w:val="009354BE"/>
    <w:rsid w:val="00961F0D"/>
    <w:rsid w:val="009640FD"/>
    <w:rsid w:val="0096601A"/>
    <w:rsid w:val="009972D6"/>
    <w:rsid w:val="009F0E47"/>
    <w:rsid w:val="009F2E7E"/>
    <w:rsid w:val="00A3303E"/>
    <w:rsid w:val="00A413E6"/>
    <w:rsid w:val="00A46FEC"/>
    <w:rsid w:val="00A6716D"/>
    <w:rsid w:val="00A92DF9"/>
    <w:rsid w:val="00AA565D"/>
    <w:rsid w:val="00AB2882"/>
    <w:rsid w:val="00AE714E"/>
    <w:rsid w:val="00AF172B"/>
    <w:rsid w:val="00B02426"/>
    <w:rsid w:val="00B0519A"/>
    <w:rsid w:val="00B500E4"/>
    <w:rsid w:val="00B61F03"/>
    <w:rsid w:val="00BA5BDB"/>
    <w:rsid w:val="00BF2722"/>
    <w:rsid w:val="00C963D1"/>
    <w:rsid w:val="00CB2FCD"/>
    <w:rsid w:val="00CE3A95"/>
    <w:rsid w:val="00D14F24"/>
    <w:rsid w:val="00D2133B"/>
    <w:rsid w:val="00D525F6"/>
    <w:rsid w:val="00D55120"/>
    <w:rsid w:val="00D80CAC"/>
    <w:rsid w:val="00E146CC"/>
    <w:rsid w:val="00E521ED"/>
    <w:rsid w:val="00E6328F"/>
    <w:rsid w:val="00E97D0E"/>
    <w:rsid w:val="00EC5E0E"/>
    <w:rsid w:val="00F1056D"/>
    <w:rsid w:val="00F14908"/>
    <w:rsid w:val="00F72814"/>
    <w:rsid w:val="00F91D10"/>
    <w:rsid w:val="00FA25DE"/>
    <w:rsid w:val="00FB363A"/>
    <w:rsid w:val="00FB407F"/>
    <w:rsid w:val="00FE11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84660"/>
  <w15:chartTrackingRefBased/>
  <w15:docId w15:val="{F7C4CA9F-D1F9-454C-A380-EC3947A9F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44F32"/>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C963D1"/>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231EF4"/>
    <w:rPr>
      <w:color w:val="808080"/>
    </w:rPr>
  </w:style>
  <w:style w:type="table" w:styleId="TableGrid">
    <w:name w:val="Table Grid"/>
    <w:basedOn w:val="TableNormal"/>
    <w:uiPriority w:val="39"/>
    <w:rsid w:val="00326F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8E6F32-CE8F-433E-A6EF-82B34343CE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5</Pages>
  <Words>648</Words>
  <Characters>3700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 Fargo</dc:creator>
  <cp:keywords/>
  <dc:description/>
  <cp:lastModifiedBy>Kris Fargo</cp:lastModifiedBy>
  <cp:revision>102</cp:revision>
  <dcterms:created xsi:type="dcterms:W3CDTF">2017-12-12T17:47:00Z</dcterms:created>
  <dcterms:modified xsi:type="dcterms:W3CDTF">2017-12-12T20:55:00Z</dcterms:modified>
</cp:coreProperties>
</file>