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224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484"/>
        <w:gridCol w:w="8755"/>
      </w:tblGrid>
      <w:tr>
        <w:trPr>
          <w:trHeight w:hRule="exact" w:val="15840"/>
        </w:trPr>
        <w:tc>
          <w:tcPr>
            <w:tcW w:type="dxa" w:w="3485"/>
            <w:shd w:val="clear" w:color="auto" w:fill="1B2735"/>
            <w:tcMar>
              <w:top w:w="604" w:type="dxa"/>
              <w:start w:w="374" w:type="dxa"/>
              <w:bottom w:w="144" w:type="dxa"/>
              <w:end w:w="345" w:type="dxa"/>
            </w:tcMar>
          </w:tcPr>
          <w:p>
            <w:pPr>
              <w:widowControl w:val="0"/>
              <w:spacing w:before="0" w:after="0" w:line="20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42"/>
                <w:rFonts w:ascii="Liberation Sans" w:hAnsi="Liberation Sans" w:cs="Liberation Sans"/>
                <w:spacing w:val="40"/>
              </w:rPr>
              <w:t>ERIK</w:t>
            </w:r>
          </w:p>
          <w:p>
            <w:pPr>
              <w:widowControl w:val="0"/>
              <w:spacing w:before="0" w:after="160" w:line="206" w:lineRule="auto"/>
            </w:pPr>
            <w:r>
              <w:rPr>
                <w:rFonts w:ascii="Liberation Sans" w:hAnsi="Liberation Sans"/>
                <w:b/>
                <w:i w:val="0"/>
                <w:color w:val="7FB3D9"/>
                <w:sz w:val="42"/>
                <w:rFonts w:ascii="Liberation Sans" w:hAnsi="Liberation Sans" w:cs="Liberation Sans"/>
                <w:spacing w:val="40"/>
              </w:rPr>
              <w:t>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917-912-1275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eleavell@gmail.com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linkedin.com/in/erikleavell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New York, NY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LEADERSHIP SCOPE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FP&amp;A &amp; Strategic Finance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Accounting &amp; Controllership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Technical Accounting &amp; Rev Rec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Audit, SOC &amp; Risk Governance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Tax &amp; Multi-Entity Compliance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Treasury &amp; Working Capital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Investor Relations &amp; Board Reporting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Global Consolidation (US / Israel)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Procurement &amp; Vendor Strategy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Team Building, Comp &amp; Leveling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AI &amp; Finance Automation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BY THE NUMBERS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31 → 5 days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month-end close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2 consecutive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clean KPMG audits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$250M+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raised across Series B and C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+25% valuation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and 6–8 months of runway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$100M → $1B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revenue scale-up at MightyHive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126 → 43 days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AR aging at april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FINANCE STACK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Close &amp; GL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NetSuite, Sage Intacct, Numeric, QuickBooks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FP&amp;A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Runway, Drivetrain, Abacum, Adaptive, Planful, Anaplan, Pigment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Spend &amp; AP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Ramp, Zip, Brex, Bill.com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Billing &amp; Rev Rec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Growfin, Chargebee, Stripe, Maxio, Tabs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Tax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Anrok, Neo.Tax, Sphere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Compliance &amp; GRC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Thoropass, Safebase, Drata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People &amp; Equity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Justworks, Carta, Rippling, QuotaPath, Guideline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 &amp; CRM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Looker, Tableau, Salesforce, HubSpot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EDUCATION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B.S. Business Strategy &amp; Public Health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Brigham Young University, 2014</w:t>
            </w:r>
          </w:p>
        </w:tc>
        <w:tc>
          <w:tcPr>
            <w:tcW w:type="dxa" w:w="8755"/>
            <w:tcMar>
              <w:top w:w="633" w:type="dxa"/>
              <w:start w:w="432" w:type="dxa"/>
              <w:bottom w:w="144" w:type="dxa"/>
              <w:end w:w="489" w:type="dxa"/>
            </w:tcMar>
          </w:tcPr>
          <w:p>
            <w:pPr>
              <w:widowControl w:val="0"/>
              <w:spacing w:before="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SUMMARY</w:t>
            </w:r>
          </w:p>
          <w:p>
            <w:pPr>
              <w:widowControl w:val="0"/>
              <w:spacing w:before="0" w:after="0" w:line="254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Finance executive who builds finance functions that scale. I run FP&amp;A, Accounting, Revenue Operations, and Compliance at april as its sole senior finance leader, a function I built from zero as the company's first finance hire. Ten-plus years across SaaS and fintech: GAAP accounting and audit-ready governance stood up from scratch, global consolidations delivered, $250M+ in capital supported, and manual, vendor-dependent operations replaced with automated systems that run leaner than the headcount they displace.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EXPERIENCE</w:t>
            </w:r>
          </w:p>
          <w:p>
            <w:pPr>
              <w:widowControl w:val="0"/>
              <w:tabs>
                <w:tab w:pos="7834" w:val="right"/>
              </w:tabs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april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12/2024 – Present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First finance hire; built the entire function from zero and run it as sole senior leader across FP&amp;A, Accounting, Revenue Operations, Compliance, and Treasury for a $25M run-rate Series B fintech running U.S. and Israeli entities.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Compressed month-end close from 31 days to 7 within four months and to 5 by year-end 2025, and delivered april's first-ever consolidated U.S.–Israel financials, migrating the company onto Campfire in 48 hours against a 2–6 month industry benchmark.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Moved accounting from outsourced and consultant-dependent to fully in-house: closed the 2024 books, resolved intercompany, deferred revenue, and AP/AR cleanup, ran a 2024 revenue restatement, and authored the technical accounting library (ASC 606, 842, 810, 830, 718), all while offboarding a $144K/yr fractional CFO and $88.5K/yr outsourced FP&amp;A, consolidating four tax and audit firms into one, and hiring the Accounting Manager and Staff Accountant who replaced them.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april through its first-ever KPMG audit to a clean opinion and repeated it the following year; ran the SOC 1 audit independently, supported SOC 2 Type II, and stood up risk governance: Risk Committee charter, controls documentation, and the policy library behind enterprise diligence for regulated financial-institution customers.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ten core platforms (Campfire, Ramp, Runway, Drivetrain, Anrok, Growfin, Guideline, QuotaPath, Thoropass, and Safebase), rebuilding ASC 606 billing and revenue recognition, AP and procurement controls, automated multi-jurisdiction sales tax, collections, commissions, and trust infrastructure.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FP&amp;A as an operating system: three-statement model, ARR waterfall and snowball, sales-capacity and headcount models, unit economics, and driver-based scenarios fed by HubSpot, Campfire, and GCP; the board's primary forecasting reference and the basis for april's $40M Series B and Series C readiness.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Rebuilt pricing end to end and armed the CRO with a selling tool, not a rate sheet: unit economics set the gross-margin floors reps could discount freely inside, a platform fee billed on top of filing usage, and vertical bundles, taking the partner book from $7.4M to $17.2M at 158% NRR.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a growing library of AI agents on top of the finance stack, including Invoice Butler, an AI-driven AR collections engine that cut AR aging from 126 days to 43, and a Compliance Agent Ecosystem that answers security and vendor-risk questionnaires at a 95% completion rate on questionnaires running to 1,000 questions.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VP of Finance &amp; Operations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Kisi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02/2024 – 12/2024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strategic direction across FP&amp;A, Accounting, People, Legal, Operations, and Revenue Operations; drove a 25% valuation increase and 6–8 months of added runway within six months through net working capital and pricing optimization.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full-scale 2023 restatement and deployed Chargebee for accurate, timely revenue recognition; launched new GTM and pricing strategies that added 10% to net profit margin.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Prime Trust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01/2022 – 02/2024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Hired as FP&amp;A Manager and promoted to Director; built the company's first FP&amp;A team, set the vision for Procurement, FP&amp;A, and Treasury, and built the first revenue, operating, and GTM models plus a predictive churn model with Sales leadership using machine learning.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Planful for the first three-statement forecasts and headcount planning and built the first Executive and Board dashboards in Looker; chaired a company-wide restructuring, presented results to the Board, supported the $150M Series B, and raised an additional $50M in growth capital.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EARLIER EXPERIENCE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Principal Financial Analyst, Prosper (2021 – 2022).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Consolidated planning across P&amp;L and cash flow; built the unit economics behind Prosper's credit card launch.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FP&amp;A Manager, iTradeNetwork (2019 – 2021).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revenue and EBITDA forecasting for the C-suite; built the first functional-cost model and implemented Planful, cutting close 50%.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Senior Finance Analyst, MightyHive (2018 – 2019).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global billing through $100M-to-$1B hypergrowth; finance partner on the $150M public merger with S4 Capital, overseeing consolidations and treasury on NetSuite under US GAAP.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Controller, Harvard Eye Associates (2016 – 2018).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due diligence for a $78M PE acquisition; lowered AR days 72%, moving cash flow from negative $1.2M to positive $650K.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Practice Administrator, Retina Consultants of Nevada (2013 – 2016).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six-office, 90+ FTE practice; grew revenue from $12M to $15M and reduced denials 35%.</w:t>
            </w:r>
          </w:p>
        </w:tc>
      </w:tr>
    </w:tbl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Liberation Sans" w:hAnsi="Liberation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