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2240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3484"/>
        <w:gridCol w:w="8755"/>
      </w:tblGrid>
      <w:tr>
        <w:trPr>
          <w:trHeight w:hRule="exact" w:val="15840"/>
        </w:trPr>
        <w:tc>
          <w:tcPr>
            <w:tcW w:type="dxa" w:w="3485"/>
            <w:shd w:val="clear" w:color="auto" w:fill="1B2735"/>
            <w:tcMar>
              <w:top w:w="604" w:type="dxa"/>
              <w:start w:w="374" w:type="dxa"/>
              <w:bottom w:w="144" w:type="dxa"/>
              <w:end w:w="345" w:type="dxa"/>
            </w:tcMar>
          </w:tcPr>
          <w:p>
            <w:pPr>
              <w:widowControl w:val="0"/>
              <w:spacing w:before="0" w:after="0" w:line="20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42"/>
                <w:rFonts w:ascii="Liberation Sans" w:hAnsi="Liberation Sans" w:cs="Liberation Sans"/>
                <w:spacing w:val="40"/>
              </w:rPr>
              <w:t>ERIK</w:t>
            </w:r>
          </w:p>
          <w:p>
            <w:pPr>
              <w:widowControl w:val="0"/>
              <w:spacing w:before="0" w:after="160" w:line="206" w:lineRule="auto"/>
            </w:pPr>
            <w:r>
              <w:rPr>
                <w:rFonts w:ascii="Liberation Sans" w:hAnsi="Liberation Sans"/>
                <w:b/>
                <w:i w:val="0"/>
                <w:color w:val="7FB3D9"/>
                <w:sz w:val="42"/>
                <w:rFonts w:ascii="Liberation Sans" w:hAnsi="Liberation Sans" w:cs="Liberation Sans"/>
                <w:spacing w:val="40"/>
              </w:rPr>
              <w:t>LEAVELL</w:t>
            </w:r>
          </w:p>
          <w:p>
            <w:pPr>
              <w:widowControl w:val="0"/>
              <w:spacing w:before="0" w:after="24" w:line="240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917-912-1275</w:t>
            </w:r>
          </w:p>
          <w:p>
            <w:pPr>
              <w:widowControl w:val="0"/>
              <w:spacing w:before="0" w:after="24" w:line="240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eleavell@gmail.com</w:t>
            </w:r>
          </w:p>
          <w:p>
            <w:pPr>
              <w:widowControl w:val="0"/>
              <w:spacing w:before="0" w:after="24" w:line="240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linkedin.com/in/erikleavell</w:t>
            </w:r>
          </w:p>
          <w:p>
            <w:pPr>
              <w:widowControl w:val="0"/>
              <w:spacing w:before="0" w:after="24" w:line="240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New York, NY</w:t>
            </w:r>
          </w:p>
          <w:p>
            <w:pPr>
              <w:widowControl w:val="0"/>
              <w:spacing w:before="300" w:after="52" w:line="240" w:lineRule="auto"/>
              <w:pBdr>
                <w:bottom w:val="single" w:sz="4" w:space="2" w:color="3E5468"/>
              </w:pBdr>
            </w:pPr>
            <w:r>
              <w:rPr>
                <w:rFonts w:ascii="Liberation Sans" w:hAnsi="Liberation Sans"/>
                <w:b/>
                <w:i w:val="0"/>
                <w:color w:val="7FB3D9"/>
                <w:sz w:val="16"/>
                <w:rFonts w:ascii="Liberation Sans" w:hAnsi="Liberation Sans" w:cs="Liberation Sans"/>
                <w:spacing w:val="24"/>
              </w:rPr>
              <w:t>LEADERSHIP SCOPE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FP&amp;A &amp; Strategic Finance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Accounting &amp; Controllership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Technical Accounting &amp; Rev Rec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Audit, SOC &amp; Risk Governance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Tax &amp; Multi-Entity Compliance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Treasury &amp; Working Capital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Investor Relations &amp; Board Reporting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Global Consolidation (US / Israel)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Procurement &amp; Vendor Strategy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Team Building, Comp &amp; Leveling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AI &amp; Finance Automation</w:t>
            </w:r>
          </w:p>
          <w:p>
            <w:pPr>
              <w:widowControl w:val="0"/>
              <w:spacing w:before="300" w:after="52" w:line="240" w:lineRule="auto"/>
              <w:pBdr>
                <w:bottom w:val="single" w:sz="4" w:space="2" w:color="3E5468"/>
              </w:pBdr>
            </w:pPr>
            <w:r>
              <w:rPr>
                <w:rFonts w:ascii="Liberation Sans" w:hAnsi="Liberation Sans"/>
                <w:b/>
                <w:i w:val="0"/>
                <w:color w:val="7FB3D9"/>
                <w:sz w:val="16"/>
                <w:rFonts w:ascii="Liberation Sans" w:hAnsi="Liberation Sans" w:cs="Liberation Sans"/>
                <w:spacing w:val="24"/>
              </w:rPr>
              <w:t>BY THE NUMBERS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31 → 5 days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month-end close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2 consecutive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clean KPMG audits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$250M+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raised across Series B and C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+25% valuation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and 6–8 months of runway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$100M → $1B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revenue scale-up at MightyHive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126 → 43 days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AR aging at april</w:t>
            </w:r>
          </w:p>
          <w:p>
            <w:pPr>
              <w:widowControl w:val="0"/>
              <w:spacing w:before="300" w:after="52" w:line="240" w:lineRule="auto"/>
              <w:pBdr>
                <w:bottom w:val="single" w:sz="4" w:space="2" w:color="3E5468"/>
              </w:pBdr>
            </w:pPr>
            <w:r>
              <w:rPr>
                <w:rFonts w:ascii="Liberation Sans" w:hAnsi="Liberation Sans"/>
                <w:b/>
                <w:i w:val="0"/>
                <w:color w:val="7FB3D9"/>
                <w:sz w:val="16"/>
                <w:rFonts w:ascii="Liberation Sans" w:hAnsi="Liberation Sans" w:cs="Liberation Sans"/>
                <w:spacing w:val="24"/>
              </w:rPr>
              <w:t>FINANCE STACK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Close &amp; GL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Campfire, NetSuite, Sage Intacct, Numeric, QuickBooks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FP&amp;A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Runway, Drivetrain, Planful, Anaplan, Pigment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Spend &amp; AP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Ramp, Zip, Brex, Bill.com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Billing &amp; Rev Rec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Campfire, Growfin, Chargebee, Stripe, Maxio, Tabs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Tax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Anrok, Neo.Tax, Sphere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Compliance &amp; GRC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Thoropass, Safebase, Drata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People &amp; Equity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Justworks, Carta, Rippling, QuotaPath, Guideline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BI &amp; CRM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Looker, Tableau, Salesforce, HubSpot</w:t>
            </w:r>
          </w:p>
          <w:p>
            <w:pPr>
              <w:widowControl w:val="0"/>
              <w:spacing w:before="300" w:after="52" w:line="240" w:lineRule="auto"/>
              <w:pBdr>
                <w:bottom w:val="single" w:sz="4" w:space="2" w:color="3E5468"/>
              </w:pBdr>
            </w:pPr>
            <w:r>
              <w:rPr>
                <w:rFonts w:ascii="Liberation Sans" w:hAnsi="Liberation Sans"/>
                <w:b/>
                <w:i w:val="0"/>
                <w:color w:val="7FB3D9"/>
                <w:sz w:val="16"/>
                <w:rFonts w:ascii="Liberation Sans" w:hAnsi="Liberation Sans" w:cs="Liberation Sans"/>
                <w:spacing w:val="24"/>
              </w:rPr>
              <w:t>EDUCATION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B.S. Business Strategy &amp; Public Health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Brigham Young University, 2014</w:t>
            </w:r>
          </w:p>
        </w:tc>
        <w:tc>
          <w:tcPr>
            <w:tcW w:type="dxa" w:w="8755"/>
            <w:tcMar>
              <w:top w:w="633" w:type="dxa"/>
              <w:start w:w="432" w:type="dxa"/>
              <w:bottom w:w="144" w:type="dxa"/>
              <w:end w:w="489" w:type="dxa"/>
            </w:tcMar>
          </w:tcPr>
          <w:p>
            <w:pPr>
              <w:widowControl w:val="0"/>
              <w:spacing w:before="0" w:after="68" w:line="240" w:lineRule="auto"/>
              <w:pBdr>
                <w:bottom w:val="single" w:sz="6" w:space="2" w:color="C3CDD7"/>
              </w:pBdr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  <w:spacing w:val="30"/>
              </w:rPr>
              <w:t>SUMMARY</w:t>
            </w:r>
          </w:p>
          <w:p>
            <w:pPr>
              <w:widowControl w:val="0"/>
              <w:spacing w:before="0" w:after="0" w:line="254" w:lineRule="auto"/>
              <w:jc w:val="both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Finance executive who builds finance functions that scale. I run FP&amp;A, Accounting, Revenue Operations, and Compliance at april as its sole senior finance leader, a function I built from zero as the company's first finance hire. Ten-plus years across SaaS and fintech: GAAP accounting and audit-ready governance stood up from scratch, global consolidations delivered, $250M+ in capital supported, and manual, vendor-dependent operations replaced with automated systems that run leaner than the headcount they displace.</w:t>
            </w:r>
          </w:p>
          <w:p>
            <w:pPr>
              <w:widowControl w:val="0"/>
              <w:spacing w:before="160" w:after="68" w:line="240" w:lineRule="auto"/>
              <w:pBdr>
                <w:bottom w:val="single" w:sz="6" w:space="2" w:color="C3CDD7"/>
              </w:pBdr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  <w:spacing w:val="30"/>
              </w:rPr>
              <w:t>EXPERIENCE</w:t>
            </w:r>
          </w:p>
          <w:p>
            <w:pPr>
              <w:widowControl w:val="0"/>
              <w:tabs>
                <w:tab w:pos="7834" w:val="right"/>
              </w:tabs>
              <w:spacing w:before="0" w:after="20" w:line="240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9"/>
                <w:rFonts w:ascii="Liberation Sans" w:hAnsi="Liberation Sans" w:cs="Liberation Sans"/>
              </w:rPr>
              <w:t>Director of Finance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9"/>
                <w:rFonts w:ascii="Liberation Sans" w:hAnsi="Liberation Sans" w:cs="Liberation Sans"/>
              </w:rPr>
              <w:t xml:space="preserve">  ·  april</w:t>
            </w:r>
            <w:r>
              <w:rPr>
                <w:rFonts w:ascii="Liberation Sans" w:hAnsi="Liberation Sans"/>
                <w:b w:val="0"/>
                <w:i w:val="0"/>
                <w:color w:val="5B6B7B"/>
                <w:sz w:val="15"/>
                <w:rFonts w:ascii="Liberation Sans" w:hAnsi="Liberation Sans" w:cs="Liberation Sans"/>
              </w:rPr>
              <w:tab/>
              <w:t>12/2024 – Present · New York, NY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First finance hire; built the entire function from zero and run it as sole senior leader across FP&amp;A, Accounting, Revenue Operations, Compliance, and Treasury for a Series B fintech running U.S. and Israeli entities.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Compressed month-end close from 31 days to 7 within four months and to 5 by year-end 2025, and delivered april's first-ever consolidated U.S.–Israel financials, migrating the company onto Campfire in 48 hours against a 2–6 month industry benchmark.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Moved accounting from outsourced and consultant-dependent to fully in-house: closed the 2024 books, resolved intercompany, deferred revenue, and AP/AR cleanup, ran a 2024 revenue restatement, and authored the technical accounting library (ASC 606, 842, 810, 830, 718), all while offboarding a $144K/yr fractional CFO and $88.5K/yr outsourced FP&amp;A, consolidating four tax and audit firms into one, and hiring the Accounting Manager and Staff Accountant who replaced them.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Led april through its first-ever KPMG audit to a clean opinion and repeated it the following year; ran the SOC 1 audit independently, supported SOC 2 Type II, and stood up risk governance: Risk Committee charter, controls documentation, and the policy library behind enterprise diligence for regulated financial-institution customers.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Implemented ten core platforms (Campfire, Ramp, Runway, Drivetrain, Anrok, Growfin, Guideline, QuotaPath, Thoropass, and Safebase), rebuilding ASC 606 billing and revenue recognition, AP and procurement controls, automated multi-jurisdiction sales tax, collections, commissions, and trust infrastructure.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Built FP&amp;A as an operating system: three-statement model, ARR waterfall and snowball, sales-capacity and headcount models, unit economics, and driver-based scenarios fed by HubSpot, Campfire, and GCP; the board's primary forecasting reference and the basis for april's $40M Series B and Series C readiness.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Built the people infrastructure behind a scaling finance org: compensation and equity philosophy, career ladders and leveling guides, performance review framework, workforce planning SOP, and commission plans.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Built a growing library of AI agents on top of the finance stack, including Invoice Butler, an AI-driven AR collections engine, and a Compliance Agent Ecosystem automating security and vendor-risk questionnaires.</w:t>
            </w:r>
          </w:p>
          <w:p>
            <w:pPr>
              <w:widowControl w:val="0"/>
              <w:tabs>
                <w:tab w:pos="7834" w:val="right"/>
              </w:tabs>
              <w:spacing w:before="116" w:after="20" w:line="240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9"/>
                <w:rFonts w:ascii="Liberation Sans" w:hAnsi="Liberation Sans" w:cs="Liberation Sans"/>
              </w:rPr>
              <w:t>VP of Finance &amp; Operations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9"/>
                <w:rFonts w:ascii="Liberation Sans" w:hAnsi="Liberation Sans" w:cs="Liberation Sans"/>
              </w:rPr>
              <w:t xml:space="preserve">  ·  Kisi</w:t>
            </w:r>
            <w:r>
              <w:rPr>
                <w:rFonts w:ascii="Liberation Sans" w:hAnsi="Liberation Sans"/>
                <w:b w:val="0"/>
                <w:i w:val="0"/>
                <w:color w:val="5B6B7B"/>
                <w:sz w:val="15"/>
                <w:rFonts w:ascii="Liberation Sans" w:hAnsi="Liberation Sans" w:cs="Liberation Sans"/>
              </w:rPr>
              <w:tab/>
              <w:t>02/2024 – 12/2024 · New York, NY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Owned strategic direction across FP&amp;A, Accounting, People, Legal, Operations, and Revenue Operations; drove a 25% valuation increase and 6–8 months of added runway within six months through net working capital and pricing optimization.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Ran a full-scale 2023 restatement and deployed Chargebee for accurate, timely revenue recognition; launched new GTM and pricing strategies that added 10% to net profit margin.</w:t>
            </w:r>
          </w:p>
          <w:p>
            <w:pPr>
              <w:widowControl w:val="0"/>
              <w:tabs>
                <w:tab w:pos="7834" w:val="right"/>
              </w:tabs>
              <w:spacing w:before="116" w:after="20" w:line="240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9"/>
                <w:rFonts w:ascii="Liberation Sans" w:hAnsi="Liberation Sans" w:cs="Liberation Sans"/>
              </w:rPr>
              <w:t>Director of Finance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9"/>
                <w:rFonts w:ascii="Liberation Sans" w:hAnsi="Liberation Sans" w:cs="Liberation Sans"/>
              </w:rPr>
              <w:t xml:space="preserve">  ·  Prime Trust</w:t>
            </w:r>
            <w:r>
              <w:rPr>
                <w:rFonts w:ascii="Liberation Sans" w:hAnsi="Liberation Sans"/>
                <w:b w:val="0"/>
                <w:i w:val="0"/>
                <w:color w:val="5B6B7B"/>
                <w:sz w:val="15"/>
                <w:rFonts w:ascii="Liberation Sans" w:hAnsi="Liberation Sans" w:cs="Liberation Sans"/>
              </w:rPr>
              <w:tab/>
              <w:t>01/2022 – 02/2024 · New York, NY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Hired as FP&amp;A Manager and promoted to Director; built the company's first FP&amp;A team, set the vision for Procurement, FP&amp;A, and Treasury, and built the first revenue, operating, and GTM models plus a predictive churn model with Sales leadership using machine learning.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Implemented Planful for the first three-statement forecasts and headcount planning and built the first Executive and Board dashboards in Looker; chaired a company-wide restructuring, presented results to the Board, supported the $150M Series B, and raised an additional $50M in growth capital.</w:t>
            </w:r>
          </w:p>
          <w:p>
            <w:pPr>
              <w:widowControl w:val="0"/>
              <w:spacing w:before="160" w:after="68" w:line="240" w:lineRule="auto"/>
              <w:pBdr>
                <w:bottom w:val="single" w:sz="6" w:space="2" w:color="C3CDD7"/>
              </w:pBdr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  <w:spacing w:val="30"/>
              </w:rPr>
              <w:t>EARLIER EXPERIENCE</w:t>
            </w:r>
          </w:p>
          <w:p>
            <w:pPr>
              <w:widowControl w:val="0"/>
              <w:spacing w:before="0" w:after="48" w:line="254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</w:rPr>
              <w:t xml:space="preserve">Principal Financial Analyst, Prosper (2021 – 2022). 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Consolidated planning across P&amp;L and cash flow; built the unit economics behind Prosper's credit card launch.</w:t>
            </w:r>
          </w:p>
          <w:p>
            <w:pPr>
              <w:widowControl w:val="0"/>
              <w:spacing w:before="0" w:after="48" w:line="254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</w:rPr>
              <w:t xml:space="preserve">FP&amp;A Manager, iTradeNetwork (2019 – 2021). 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Owned revenue and EBITDA forecasting for the C-suite; built the first functional-cost model and implemented Planful, cutting close 50%.</w:t>
            </w:r>
          </w:p>
          <w:p>
            <w:pPr>
              <w:widowControl w:val="0"/>
              <w:spacing w:before="0" w:after="48" w:line="254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</w:rPr>
              <w:t xml:space="preserve">Senior Finance Analyst, MightyHive (2018 – 2019). 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Ran global billing through $100M-to-$1B hypergrowth; finance partner on the $150M public merger with S4 Capital, overseeing consolidations and treasury on NetSuite under US GAAP.</w:t>
            </w:r>
          </w:p>
          <w:p>
            <w:pPr>
              <w:widowControl w:val="0"/>
              <w:spacing w:before="0" w:after="48" w:line="254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</w:rPr>
              <w:t xml:space="preserve">Controller, Harvard Eye Associates (2016 – 2018). 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Led due diligence for a $78M PE acquisition; lowered AR days 72%, moving cash flow from negative $1.2M to positive $650K.</w:t>
            </w:r>
          </w:p>
          <w:p>
            <w:pPr>
              <w:widowControl w:val="0"/>
              <w:spacing w:before="0" w:after="48" w:line="254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</w:rPr>
              <w:t xml:space="preserve">Practice Administrator, Retina Consultants of Nevada (2013 – 2016). 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Ran a six-office, 90+ FTE practice; grew revenue from $12M to $15M and reduced denials 35%.</w:t>
            </w:r>
          </w:p>
        </w:tc>
      </w:tr>
    </w:tbl>
    <w:sectPr w:rsidR="00FC693F" w:rsidRPr="0006063C" w:rsidSect="00034616">
      <w:pgSz w:w="12240" w:h="15840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Liberation Sans" w:hAnsi="Liberation San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