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2240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484"/>
        <w:gridCol w:w="8755"/>
      </w:tblGrid>
      <w:tr>
        <w:trPr>
          <w:trHeight w:hRule="exact" w:val="15840"/>
        </w:trPr>
        <w:tc>
          <w:tcPr>
            <w:tcW w:type="dxa" w:w="3485"/>
            <w:shd w:val="clear" w:color="auto" w:fill="1B2735"/>
            <w:tcMar>
              <w:top w:w="604" w:type="dxa"/>
              <w:start w:w="374" w:type="dxa"/>
              <w:bottom w:w="144" w:type="dxa"/>
              <w:end w:w="345" w:type="dxa"/>
            </w:tcMar>
          </w:tcPr>
          <w:p>
            <w:pPr>
              <w:widowControl w:val="0"/>
              <w:spacing w:before="0" w:after="0" w:line="20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42"/>
                <w:rFonts w:ascii="Liberation Sans" w:hAnsi="Liberation Sans" w:cs="Liberation Sans"/>
                <w:spacing w:val="40"/>
              </w:rPr>
              <w:t>ERIK</w:t>
            </w:r>
          </w:p>
          <w:p>
            <w:pPr>
              <w:widowControl w:val="0"/>
              <w:spacing w:before="0" w:after="160" w:line="206" w:lineRule="auto"/>
            </w:pPr>
            <w:r>
              <w:rPr>
                <w:rFonts w:ascii="Liberation Sans" w:hAnsi="Liberation Sans"/>
                <w:b/>
                <w:i w:val="0"/>
                <w:color w:val="7FB3D9"/>
                <w:sz w:val="42"/>
                <w:rFonts w:ascii="Liberation Sans" w:hAnsi="Liberation Sans" w:cs="Liberation Sans"/>
                <w:spacing w:val="40"/>
              </w:rPr>
              <w:t>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917-912-1275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eleavell@gmail.com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linkedin.com/in/erikleavell</w:t>
            </w:r>
          </w:p>
          <w:p>
            <w:pPr>
              <w:widowControl w:val="0"/>
              <w:spacing w:before="0" w:after="24" w:line="240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New York, NY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HOW I WORK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AI-native building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0-to-1 ownership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High agency, low supervision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Cross-functional leadership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Systems &amp; control design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Executive communication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AI &amp; AUTOMATION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Agents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Claude &amp; Claude Code, MCP connectors, multi-agent orchestration, scheduled runs, eval and run logs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Build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Python, SQL, Notion API, Slack bots, workflow automation, RAG-style knowledge bases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Applied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AR collections, security questionnaire autofill, evidence pipelines, docs sync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FINANCE &amp; DATA STACK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Planning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Drivetrain, Planful, Anaplan, Pigment, Runway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Systems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Campfire, NetSuite, Numeric, Ramp, Chargebee, Stripe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Compliance &amp; BI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Drata, Thoropass, Anrok, Looker, Tableau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CRM</w:t>
            </w: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 xml:space="preserve"> Salesforce, HubSpot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EDUCATION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/>
                <w:i w:val="0"/>
                <w:color w:val="FFFFFF"/>
                <w:sz w:val="16"/>
                <w:rFonts w:ascii="Liberation Sans" w:hAnsi="Liberation Sans" w:cs="Liberation Sans"/>
              </w:rPr>
              <w:t>B.S. Business Strategy &amp; Public Health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Brigham Young University, 2014</w:t>
            </w:r>
          </w:p>
          <w:p>
            <w:pPr>
              <w:widowControl w:val="0"/>
              <w:spacing w:before="320" w:after="52" w:line="240" w:lineRule="auto"/>
              <w:pBdr>
                <w:bottom w:val="single" w:sz="4" w:space="2" w:color="3E5468"/>
              </w:pBdr>
            </w:pPr>
            <w:r>
              <w:rPr>
                <w:rFonts w:ascii="Liberation Sans" w:hAnsi="Liberation Sans"/>
                <w:b/>
                <w:i w:val="0"/>
                <w:color w:val="7FB3D9"/>
                <w:sz w:val="16"/>
                <w:rFonts w:ascii="Liberation Sans" w:hAnsi="Liberation Sans" w:cs="Liberation Sans"/>
                <w:spacing w:val="24"/>
              </w:rPr>
              <w:t>LANGUAGES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English (native) · Spanish (native)</w:t>
            </w:r>
          </w:p>
          <w:p>
            <w:pPr>
              <w:widowControl w:val="0"/>
              <w:spacing w:before="0" w:after="124" w:line="266" w:lineRule="auto"/>
            </w:pPr>
            <w:r>
              <w:rPr>
                <w:rFonts w:ascii="Liberation Sans" w:hAnsi="Liberation Sans"/>
                <w:b w:val="0"/>
                <w:i w:val="0"/>
                <w:color w:val="D9E2EC"/>
                <w:sz w:val="16"/>
                <w:rFonts w:ascii="Liberation Sans" w:hAnsi="Liberation Sans" w:cs="Liberation Sans"/>
              </w:rPr>
              <w:t>Portuguese (intermediate) · ASL (proficient)</w:t>
            </w:r>
          </w:p>
        </w:tc>
        <w:tc>
          <w:tcPr>
            <w:tcW w:type="dxa" w:w="8755"/>
            <w:tcMar>
              <w:top w:w="633" w:type="dxa"/>
              <w:start w:w="432" w:type="dxa"/>
              <w:bottom w:w="144" w:type="dxa"/>
              <w:end w:w="489" w:type="dxa"/>
            </w:tcMar>
          </w:tcPr>
          <w:p>
            <w:pPr>
              <w:widowControl w:val="0"/>
              <w:spacing w:before="0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PROFILE</w:t>
            </w:r>
          </w:p>
          <w:p>
            <w:pPr>
              <w:widowControl w:val="0"/>
              <w:spacing w:before="0" w:after="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AI-native operator who builds the systems, not just the plans. I joined april as its first finance hire, built the function from zero, and now run it as sole senior leader, then built a library of production AI agents on top of it that run AR collections and enterprise security diligence end to end. I work where product, engineering, GTM, and finance overlap: I find the problem, scope it, ship the system, and own the outcome without waiting for a spec. A decade of finance and fintech operating depth is what tells me which problems are worth automating.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AI SYSTEMS I'VE BUILT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Invoice Butler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·  AI-driven AR collections engine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Designed and deployed a ten-stage collections system that moves overdue accounts without manual chasing: tiered automated email dunning in two customer voices, a Slack-bot gate that posts account dossiers and hands ownership to Customer Success, an automatic Growth escalation ladder applying staged commercial pressure, and a hard auto-escalation backstop. I built the tag-driven workflow architecture, the escalation and guardrail logic, the Slack integration, and every email template.</w:t>
            </w:r>
          </w:p>
          <w:p>
            <w:pPr>
              <w:widowControl w:val="0"/>
              <w:spacing w:before="0" w:after="32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Compliance Agent Ecosystem</w:t>
            </w:r>
            <w:r>
              <w:rPr>
                <w:rFonts w:ascii="Liberation Sans" w:hAnsi="Liberation Sans"/>
                <w:b w:val="0"/>
                <w:i/>
                <w:color w:val="5B6B7B"/>
                <w:sz w:val="18"/>
                <w:rFonts w:ascii="Liberation Sans" w:hAnsi="Liberation Sans" w:cs="Liberation Sans"/>
              </w:rPr>
              <w:t xml:space="preserve">  ·  multi-agent system for security &amp; vendor-risk diligence</w:t>
            </w:r>
          </w:p>
          <w:p>
            <w:pPr>
              <w:widowControl w:val="0"/>
              <w:spacing w:before="0" w:after="110" w:line="262" w:lineRule="auto"/>
              <w:jc w:val="both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Architected and operate a multi-agent system automating enterprise security and vendor-risk questionnaire responses: an autofill agent drafting against a governed 320-row answer bank, an evidence-conversion agent turning SOC and penetration-test PDFs into queryable knowledge pages, a knowledge-base health monitor, and an append-only control agent that refuses to close a run with unresolved approval gates. Runs on scheduled crons behind human review gates; a 152-item enterprise questionnaire now comes back as a reviewed draft.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EXPERIENCE</w:t>
            </w:r>
          </w:p>
          <w:p>
            <w:pPr>
              <w:widowControl w:val="0"/>
              <w:tabs>
                <w:tab w:pos="7834" w:val="right"/>
              </w:tabs>
              <w:spacing w:before="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april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12/2024 – Present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First finance hire at a Series B fintech; built the entire function from zero and run it as sole senior leader across FP&amp;A, Accounting, Revenue Operations, Compliance, and Treasury.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Compressed month-end close from 31 days to 7 in four months and to 5 by year-end 2025 by rebuilding the process and the stack, not by hiring. Delivered the first-ever consolidated U.S.–Israel financials, migrating onto Campfire in 48 hours against a 2–6 month industry benchmark.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Implemented ten core platforms (Campfire, Ramp, Runway, Drivetrain, Anrok, Growfin, Thoropass, Safebase, QuotaPath, Guideline) and moved accounting from outsourced to in-house, hiring the team that replaced a $144K/yr fractional CFO and $88.5K/yr outsourced FP&amp;A.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the SOC 1 audit independently and led april through back-to-back clean KPMG audits; supported the SOC 2 Type II program and drive security, engineering, legal, and GTM to close enterprise diligence for regulated financial-institution customers.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FP&amp;A as an operating system (three-statement model, ARR waterfall, sales-capacity and headcount models, and driver-based scenarios fed by HubSpot, Campfire, and GCP) behind april's $40M Series B and Series C readiness.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VP of Finance &amp; Operations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Kisi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02/2024 – 12/2024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Owned strategic direction across FP&amp;A, Accounting, People, Legal, Operations, and Revenue Operations; drove a 25% valuation increase and 6–8 months of added runway, and launched GTM and pricing changes worth 10% of net profit margin.</w:t>
            </w:r>
          </w:p>
          <w:p>
            <w:pPr>
              <w:widowControl w:val="0"/>
              <w:tabs>
                <w:tab w:pos="7834" w:val="right"/>
              </w:tabs>
              <w:spacing w:before="130" w:after="20" w:line="240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20"/>
                <w:rFonts w:ascii="Liberation Sans" w:hAnsi="Liberation Sans" w:cs="Liberation Sans"/>
              </w:rPr>
              <w:t>Director of Finance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20"/>
                <w:rFonts w:ascii="Liberation Sans" w:hAnsi="Liberation Sans" w:cs="Liberation Sans"/>
              </w:rPr>
              <w:t xml:space="preserve">  ·  Prime Trust</w:t>
            </w:r>
            <w:r>
              <w:rPr>
                <w:rFonts w:ascii="Liberation Sans" w:hAnsi="Liberation Sans"/>
                <w:b w:val="0"/>
                <w:i w:val="0"/>
                <w:color w:val="5B6B7B"/>
                <w:sz w:val="16"/>
                <w:rFonts w:ascii="Liberation Sans" w:hAnsi="Liberation Sans" w:cs="Liberation Sans"/>
              </w:rPr>
              <w:tab/>
              <w:t>01/2022 – 02/2024 · New York, NY</w:t>
            </w:r>
          </w:p>
          <w:p>
            <w:pPr>
              <w:widowControl w:val="0"/>
              <w:spacing w:before="0" w:after="56" w:line="262" w:lineRule="auto"/>
              <w:ind w:left="187" w:hanging="187"/>
            </w:pP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 xml:space="preserve">– 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company's first FP&amp;A team and its revenue, operating, and GTM models; implemented Planful and built the first Executive and Board dashboards in Looker; built a predictive churn model with Sales leadership using machine learning; supported the $150M Series B and raised $50M in growth capital.</w:t>
            </w:r>
          </w:p>
          <w:p>
            <w:pPr>
              <w:widowControl w:val="0"/>
              <w:spacing w:before="196" w:after="68" w:line="240" w:lineRule="auto"/>
              <w:pBdr>
                <w:bottom w:val="single" w:sz="6" w:space="2" w:color="C3CDD7"/>
              </w:pBdr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  <w:spacing w:val="30"/>
              </w:rPr>
              <w:t>EARLIER EXPERIENCE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Principal Financial Analyst, Prosper (2021 – 2022).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Consolidated planning across P&amp;L and cash flow, and the unit-economics analysis behind Prosper's credit card launch.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FP&amp;A Manager, iTradeNetwork (2019 – 2021).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Built the first functional-cost model and implemented Planful, cutting close time 50%.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Senior Finance Analyst, MightyHive (2018 – 2019).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Ran global billing through $100M-to-$1B hypergrowth; finance partner on the $150M public merger with S4 Capital.</w:t>
            </w:r>
          </w:p>
          <w:p>
            <w:pPr>
              <w:widowControl w:val="0"/>
              <w:spacing w:before="0" w:after="56" w:line="262" w:lineRule="auto"/>
            </w:pPr>
            <w:r>
              <w:rPr>
                <w:rFonts w:ascii="Liberation Sans" w:hAnsi="Liberation Sans"/>
                <w:b/>
                <w:i w:val="0"/>
                <w:color w:val="1B2735"/>
                <w:sz w:val="18"/>
                <w:rFonts w:ascii="Liberation Sans" w:hAnsi="Liberation Sans" w:cs="Liberation Sans"/>
              </w:rPr>
              <w:t xml:space="preserve">Controller, Harvard Eye Associates (2016 – 2018). </w:t>
            </w:r>
            <w:r>
              <w:rPr>
                <w:rFonts w:ascii="Liberation Sans" w:hAnsi="Liberation Sans"/>
                <w:b w:val="0"/>
                <w:i w:val="0"/>
                <w:color w:val="2E3A46"/>
                <w:sz w:val="18"/>
                <w:rFonts w:ascii="Liberation Sans" w:hAnsi="Liberation Sans" w:cs="Liberation Sans"/>
              </w:rPr>
              <w:t>Led due diligence for a $78M PE acquisition; lowered AR days 72%, moving cash flow from negative $1.2M to positive $650K.</w:t>
            </w:r>
          </w:p>
        </w:tc>
      </w:tr>
    </w:tbl>
    <w:sectPr w:rsidR="00FC693F" w:rsidRPr="0006063C" w:rsidSect="00034616"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Liberation Sans" w:hAnsi="Liberation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