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2240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484"/>
        <w:gridCol w:w="8755"/>
      </w:tblGrid>
      <w:tr>
        <w:trPr>
          <w:trHeight w:hRule="exact" w:val="15840"/>
        </w:trPr>
        <w:tc>
          <w:tcPr>
            <w:tcW w:type="dxa" w:w="3485"/>
            <w:shd w:val="clear" w:color="auto" w:fill="1B2735"/>
            <w:tcMar>
              <w:top w:w="604" w:type="dxa"/>
              <w:start w:w="374" w:type="dxa"/>
              <w:bottom w:w="144" w:type="dxa"/>
              <w:end w:w="345" w:type="dxa"/>
            </w:tcMar>
          </w:tcPr>
          <w:p>
            <w:pPr>
              <w:widowControl w:val="0"/>
              <w:spacing w:before="0" w:after="0" w:line="20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42"/>
                <w:rFonts w:ascii="Liberation Sans" w:hAnsi="Liberation Sans" w:cs="Liberation Sans"/>
                <w:spacing w:val="40"/>
              </w:rPr>
              <w:t>ERIK</w:t>
            </w:r>
          </w:p>
          <w:p>
            <w:pPr>
              <w:widowControl w:val="0"/>
              <w:spacing w:before="0" w:after="160" w:line="206" w:lineRule="auto"/>
            </w:pPr>
            <w:r>
              <w:rPr>
                <w:rFonts w:ascii="Liberation Sans" w:hAnsi="Liberation Sans"/>
                <w:b/>
                <w:i w:val="0"/>
                <w:color w:val="7FB3D9"/>
                <w:sz w:val="42"/>
                <w:rFonts w:ascii="Liberation Sans" w:hAnsi="Liberation Sans" w:cs="Liberation Sans"/>
                <w:spacing w:val="40"/>
              </w:rPr>
              <w:t>LEAVELL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917-912-1275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eleavell@gmail.com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linkedin.com/in/erikleavell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New York, NY</w:t>
            </w:r>
          </w:p>
          <w:p>
            <w:pPr>
              <w:widowControl w:val="0"/>
              <w:spacing w:before="24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CORE STRENGTHS</w:t>
            </w:r>
          </w:p>
          <w:p>
            <w:pPr>
              <w:widowControl w:val="0"/>
              <w:spacing w:before="0" w:after="84" w:line="262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Finance, end to end.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Sole senior finance leader across FP&amp;A, Accounting, Revenue Operations, and Compliance.</w:t>
            </w:r>
          </w:p>
          <w:p>
            <w:pPr>
              <w:widowControl w:val="0"/>
              <w:spacing w:before="0" w:after="84" w:line="262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Close &amp; controllership.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31-day close to 5; back-to-back clean KPMG audits.</w:t>
            </w:r>
          </w:p>
          <w:p>
            <w:pPr>
              <w:widowControl w:val="0"/>
              <w:spacing w:before="0" w:after="84" w:line="262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Audit &amp; compliance.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SOC 1 owner, SOC 2 Type II support, enterprise security diligence.</w:t>
            </w:r>
          </w:p>
          <w:p>
            <w:pPr>
              <w:widowControl w:val="0"/>
              <w:spacing w:before="0" w:after="84" w:line="262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Capital &amp; investor relations.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$250M+ raised across Series B and C rounds.</w:t>
            </w:r>
          </w:p>
          <w:p>
            <w:pPr>
              <w:widowControl w:val="0"/>
              <w:spacing w:before="0" w:after="84" w:line="262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AI-native operator.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Builds agent systems on the finance stack so scale doesn't require headcount.</w:t>
            </w:r>
          </w:p>
          <w:p>
            <w:pPr>
              <w:widowControl w:val="0"/>
              <w:spacing w:before="0" w:after="84" w:line="262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SaaS metrics.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ARR, CARR, unit economics, and rolling forecasts.</w:t>
            </w:r>
          </w:p>
          <w:p>
            <w:pPr>
              <w:widowControl w:val="0"/>
              <w:spacing w:before="24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FINANCE STACK</w:t>
            </w:r>
          </w:p>
          <w:p>
            <w:pPr>
              <w:widowControl w:val="0"/>
              <w:spacing w:before="0" w:after="84" w:line="262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Close &amp; GL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Campfire, NetSuite, Sage Intacct, QuickBooks, Xero</w:t>
            </w:r>
          </w:p>
          <w:p>
            <w:pPr>
              <w:widowControl w:val="0"/>
              <w:spacing w:before="0" w:after="84" w:line="262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FP&amp;A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Drivetrain, Planful, Anaplan, Pigment, Runway</w:t>
            </w:r>
          </w:p>
          <w:p>
            <w:pPr>
              <w:widowControl w:val="0"/>
              <w:spacing w:before="0" w:after="84" w:line="262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Spend &amp; AP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Ramp, Zip, Brex</w:t>
            </w:r>
          </w:p>
          <w:p>
            <w:pPr>
              <w:widowControl w:val="0"/>
              <w:spacing w:before="0" w:after="84" w:line="262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Billing &amp; RevRec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Campfire, Tabs, Maxio, Chargebee, Stripe</w:t>
            </w:r>
          </w:p>
          <w:p>
            <w:pPr>
              <w:widowControl w:val="0"/>
              <w:spacing w:before="0" w:after="84" w:line="262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Compliance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Drata, Thoropass</w:t>
            </w:r>
          </w:p>
          <w:p>
            <w:pPr>
              <w:widowControl w:val="0"/>
              <w:spacing w:before="0" w:after="84" w:line="262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BI &amp; CRM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Looker, Tableau, Salesforce, HubSpot</w:t>
            </w:r>
          </w:p>
          <w:p>
            <w:pPr>
              <w:widowControl w:val="0"/>
              <w:spacing w:before="0" w:after="84" w:line="262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Tax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Neo.Tax, Anrok, Sphere</w:t>
            </w:r>
          </w:p>
          <w:p>
            <w:pPr>
              <w:widowControl w:val="0"/>
              <w:spacing w:before="24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BY THE NUMBERS</w:t>
            </w:r>
          </w:p>
          <w:p>
            <w:pPr>
              <w:widowControl w:val="0"/>
              <w:spacing w:before="0" w:after="84" w:line="262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31 → 5 days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month-end close</w:t>
            </w:r>
          </w:p>
          <w:p>
            <w:pPr>
              <w:widowControl w:val="0"/>
              <w:spacing w:before="0" w:after="84" w:line="262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2 consecutive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clean KPMG audits</w:t>
            </w:r>
          </w:p>
          <w:p>
            <w:pPr>
              <w:widowControl w:val="0"/>
              <w:spacing w:before="0" w:after="84" w:line="262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$250M+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raised across Series B and C</w:t>
            </w:r>
          </w:p>
          <w:p>
            <w:pPr>
              <w:widowControl w:val="0"/>
              <w:spacing w:before="0" w:after="84" w:line="262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+25% valuation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and 6–8 months of runway</w:t>
            </w:r>
          </w:p>
          <w:p>
            <w:pPr>
              <w:widowControl w:val="0"/>
              <w:spacing w:before="0" w:after="84" w:line="262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$100M → $1B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revenue scale-up at MightyHive</w:t>
            </w:r>
          </w:p>
          <w:p>
            <w:pPr>
              <w:widowControl w:val="0"/>
              <w:spacing w:before="0" w:after="84" w:line="262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−72% AR days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at Harvard Eye Associates</w:t>
            </w:r>
          </w:p>
          <w:p>
            <w:pPr>
              <w:widowControl w:val="0"/>
              <w:spacing w:before="24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EDUCATION</w:t>
            </w:r>
          </w:p>
          <w:p>
            <w:pPr>
              <w:widowControl w:val="0"/>
              <w:spacing w:before="0" w:after="84" w:line="262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B.S. Business Strategy &amp; Public Health</w:t>
            </w:r>
          </w:p>
          <w:p>
            <w:pPr>
              <w:widowControl w:val="0"/>
              <w:spacing w:before="0" w:after="84" w:line="262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Brigham Young University, 2014</w:t>
            </w:r>
          </w:p>
          <w:p>
            <w:pPr>
              <w:widowControl w:val="0"/>
              <w:spacing w:before="24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LANGUAGES</w:t>
            </w:r>
          </w:p>
          <w:p>
            <w:pPr>
              <w:widowControl w:val="0"/>
              <w:spacing w:before="0" w:after="84" w:line="262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English (native) · Spanish (native)</w:t>
            </w:r>
          </w:p>
          <w:p>
            <w:pPr>
              <w:widowControl w:val="0"/>
              <w:spacing w:before="0" w:after="84" w:line="262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Portuguese (intermediate) · ASL (proficient)</w:t>
            </w:r>
          </w:p>
        </w:tc>
        <w:tc>
          <w:tcPr>
            <w:tcW w:type="dxa" w:w="8755"/>
            <w:tcMar>
              <w:top w:w="633" w:type="dxa"/>
              <w:start w:w="432" w:type="dxa"/>
              <w:bottom w:w="144" w:type="dxa"/>
              <w:end w:w="489" w:type="dxa"/>
            </w:tcMar>
          </w:tcPr>
          <w:p>
            <w:pPr>
              <w:widowControl w:val="0"/>
              <w:spacing w:before="0" w:after="68" w:line="240" w:lineRule="auto"/>
              <w:pBdr>
                <w:bottom w:val="single" w:sz="6" w:space="2" w:color="C3CDD7"/>
              </w:pBdr>
            </w:pPr>
            <w:r>
              <w:rPr>
                <w:rFonts w:ascii="Liberation Sans" w:hAnsi="Liberation Sans"/>
                <w:b/>
                <w:i w:val="0"/>
                <w:color w:val="1B2735"/>
                <w:sz w:val="18"/>
                <w:rFonts w:ascii="Liberation Sans" w:hAnsi="Liberation Sans" w:cs="Liberation Sans"/>
                <w:spacing w:val="30"/>
              </w:rPr>
              <w:t>SUMMARY</w:t>
            </w:r>
          </w:p>
          <w:p>
            <w:pPr>
              <w:widowControl w:val="0"/>
              <w:spacing w:before="0" w:after="0" w:line="269" w:lineRule="auto"/>
              <w:jc w:val="both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Finance executive with 10+ years building and owning the finance function end to end at high-growth SaaS and fintech companies. Sole senior finance leader at april, owning FP&amp;A, Accounting, Revenue Operations, and Compliance. I stand up GAAP accounting, forecasting, board reporting, and audit-ready governance from scratch, have supported $250M+ raised across Series B and C, and build AI agent systems on the finance stack so it scales without adding headcount.</w:t>
            </w:r>
          </w:p>
          <w:p>
            <w:pPr>
              <w:widowControl w:val="0"/>
              <w:spacing w:before="220" w:after="68" w:line="240" w:lineRule="auto"/>
              <w:pBdr>
                <w:bottom w:val="single" w:sz="6" w:space="2" w:color="C3CDD7"/>
              </w:pBdr>
            </w:pPr>
            <w:r>
              <w:rPr>
                <w:rFonts w:ascii="Liberation Sans" w:hAnsi="Liberation Sans"/>
                <w:b/>
                <w:i w:val="0"/>
                <w:color w:val="1B2735"/>
                <w:sz w:val="18"/>
                <w:rFonts w:ascii="Liberation Sans" w:hAnsi="Liberation Sans" w:cs="Liberation Sans"/>
                <w:spacing w:val="30"/>
              </w:rPr>
              <w:t>EXPERIENCE</w:t>
            </w:r>
          </w:p>
          <w:p>
            <w:pPr>
              <w:widowControl w:val="0"/>
              <w:tabs>
                <w:tab w:pos="7834" w:val="right"/>
              </w:tabs>
              <w:spacing w:before="0" w:after="20" w:line="240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20"/>
                <w:rFonts w:ascii="Liberation Sans" w:hAnsi="Liberation Sans" w:cs="Liberation Sans"/>
              </w:rPr>
              <w:t>Director of Finance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20"/>
                <w:rFonts w:ascii="Liberation Sans" w:hAnsi="Liberation Sans" w:cs="Liberation Sans"/>
              </w:rPr>
              <w:t xml:space="preserve">  ·  april</w:t>
            </w:r>
            <w:r>
              <w:rPr>
                <w:rFonts w:ascii="Liberation Sans" w:hAnsi="Liberation Sans"/>
                <w:b w:val="0"/>
                <w:i w:val="0"/>
                <w:color w:val="5B6B7B"/>
                <w:sz w:val="16"/>
                <w:rFonts w:ascii="Liberation Sans" w:hAnsi="Liberation Sans" w:cs="Liberation Sans"/>
              </w:rPr>
              <w:tab/>
              <w:t>12/2024 – Present · New York, NY</w:t>
            </w:r>
          </w:p>
          <w:p>
            <w:pPr>
              <w:widowControl w:val="0"/>
              <w:spacing w:before="0" w:after="64" w:line="269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/>
                <w:i w:val="0"/>
                <w:color w:val="1B2735"/>
                <w:sz w:val="18"/>
                <w:rFonts w:ascii="Liberation Sans" w:hAnsi="Liberation Sans" w:cs="Liberation Sans"/>
              </w:rPr>
              <w:t>First finance hire.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 xml:space="preserve"> Built the entire function from scratch and remain the sole senior finance leader across FP&amp;A, Accounting, Revenue Operations, and Compliance.</w:t>
            </w:r>
          </w:p>
          <w:p>
            <w:pPr>
              <w:widowControl w:val="0"/>
              <w:spacing w:before="0" w:after="64" w:line="269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/>
                <w:i w:val="0"/>
                <w:color w:val="1B2735"/>
                <w:sz w:val="18"/>
                <w:rFonts w:ascii="Liberation Sans" w:hAnsi="Liberation Sans" w:cs="Liberation Sans"/>
              </w:rPr>
              <w:t>Close: 31 days to 5.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 xml:space="preserve"> Cut month-end close from 31 days to 7 in four months while running a Series B, then to 5 days by year-end 2025.</w:t>
            </w:r>
          </w:p>
          <w:p>
            <w:pPr>
              <w:widowControl w:val="0"/>
              <w:spacing w:before="0" w:after="64" w:line="269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/>
                <w:i w:val="0"/>
                <w:color w:val="1B2735"/>
                <w:sz w:val="18"/>
                <w:rFonts w:ascii="Liberation Sans" w:hAnsi="Liberation Sans" w:cs="Liberation Sans"/>
              </w:rPr>
              <w:t>Back-to-back clean audits.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 xml:space="preserve"> Led april through its first-ever KPMG audit to a clean opinion, then repeated it successfully the following year.</w:t>
            </w:r>
          </w:p>
          <w:p>
            <w:pPr>
              <w:widowControl w:val="0"/>
              <w:spacing w:before="0" w:after="64" w:line="269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/>
                <w:i w:val="0"/>
                <w:color w:val="1B2735"/>
                <w:sz w:val="18"/>
                <w:rFonts w:ascii="Liberation Sans" w:hAnsi="Liberation Sans" w:cs="Liberation Sans"/>
              </w:rPr>
              <w:t>Compliance owner.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 xml:space="preserve"> Ran the SOC 1 audit independently; supported the SOC 2 Type II program, security and data-privacy reviews, vendor risk, and enterprise diligence for regulated financial-institution customers.</w:t>
            </w:r>
          </w:p>
          <w:p>
            <w:pPr>
              <w:widowControl w:val="0"/>
              <w:spacing w:before="0" w:after="64" w:line="269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/>
                <w:i w:val="0"/>
                <w:color w:val="1B2735"/>
                <w:sz w:val="18"/>
                <w:rFonts w:ascii="Liberation Sans" w:hAnsi="Liberation Sans" w:cs="Liberation Sans"/>
              </w:rPr>
              <w:t>AI-native finance stack.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 xml:space="preserve"> Built a growing library of AI agents on the stack — including Invoice Butler, an AI-driven AR collections engine, and a Compliance Agent Ecosystem automating security and vendor-risk questionnaires — and implemented Campfire and Ramp with the team.</w:t>
            </w:r>
          </w:p>
          <w:p>
            <w:pPr>
              <w:widowControl w:val="0"/>
              <w:spacing w:before="0" w:after="64" w:line="269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/>
                <w:i w:val="0"/>
                <w:color w:val="1B2735"/>
                <w:sz w:val="18"/>
                <w:rFonts w:ascii="Liberation Sans" w:hAnsi="Liberation Sans" w:cs="Liberation Sans"/>
              </w:rPr>
              <w:t>Board &amp; capital.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 xml:space="preserve"> Built the first bottoms-up revenue model (ARR, CARR, bookings), now the board's primary forecasting reference, and the forecasting behind april's $40M Series B; delivers board packages and investor updates independently.</w:t>
            </w:r>
          </w:p>
          <w:p>
            <w:pPr>
              <w:widowControl w:val="0"/>
              <w:tabs>
                <w:tab w:pos="7834" w:val="right"/>
              </w:tabs>
              <w:spacing w:before="150" w:after="20" w:line="240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20"/>
                <w:rFonts w:ascii="Liberation Sans" w:hAnsi="Liberation Sans" w:cs="Liberation Sans"/>
              </w:rPr>
              <w:t>VP of Finance &amp; Operations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20"/>
                <w:rFonts w:ascii="Liberation Sans" w:hAnsi="Liberation Sans" w:cs="Liberation Sans"/>
              </w:rPr>
              <w:t xml:space="preserve">  ·  Kisi</w:t>
            </w:r>
            <w:r>
              <w:rPr>
                <w:rFonts w:ascii="Liberation Sans" w:hAnsi="Liberation Sans"/>
                <w:b w:val="0"/>
                <w:i w:val="0"/>
                <w:color w:val="5B6B7B"/>
                <w:sz w:val="16"/>
                <w:rFonts w:ascii="Liberation Sans" w:hAnsi="Liberation Sans" w:cs="Liberation Sans"/>
              </w:rPr>
              <w:tab/>
              <w:t>02/2024 – 12/2024 · New York, NY</w:t>
            </w:r>
          </w:p>
          <w:p>
            <w:pPr>
              <w:widowControl w:val="0"/>
              <w:spacing w:before="0" w:after="64" w:line="269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Led strategic direction across FP&amp;A, Accounting, People, Legal, Operations, and Revenue Operations; drove a 25% valuation increase and 6–8 months of added runway through net working capital and pricing optimization.</w:t>
            </w:r>
          </w:p>
          <w:p>
            <w:pPr>
              <w:widowControl w:val="0"/>
              <w:spacing w:before="0" w:after="64" w:line="269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Ran a full-scale 2023 restatement and deployed Chargebee for accurate, timely revenue recognition; launched new GTM and pricing strategies that added 10% to net profit margin.</w:t>
            </w:r>
          </w:p>
          <w:p>
            <w:pPr>
              <w:widowControl w:val="0"/>
              <w:tabs>
                <w:tab w:pos="7834" w:val="right"/>
              </w:tabs>
              <w:spacing w:before="150" w:after="20" w:line="240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20"/>
                <w:rFonts w:ascii="Liberation Sans" w:hAnsi="Liberation Sans" w:cs="Liberation Sans"/>
              </w:rPr>
              <w:t>Director of Finance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20"/>
                <w:rFonts w:ascii="Liberation Sans" w:hAnsi="Liberation Sans" w:cs="Liberation Sans"/>
              </w:rPr>
              <w:t xml:space="preserve">  ·  Prime Trust</w:t>
            </w:r>
            <w:r>
              <w:rPr>
                <w:rFonts w:ascii="Liberation Sans" w:hAnsi="Liberation Sans"/>
                <w:b w:val="0"/>
                <w:i w:val="0"/>
                <w:color w:val="5B6B7B"/>
                <w:sz w:val="16"/>
                <w:rFonts w:ascii="Liberation Sans" w:hAnsi="Liberation Sans" w:cs="Liberation Sans"/>
              </w:rPr>
              <w:tab/>
              <w:t>01/2022 – 02/2024 · New York, NY</w:t>
            </w:r>
          </w:p>
          <w:p>
            <w:pPr>
              <w:widowControl w:val="0"/>
              <w:spacing w:before="0" w:after="64" w:line="269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Hired as FP&amp;A Manager and promoted to Director; built the company's first FP&amp;A team and the revenue, operating, and GTM models behind its forward-looking metrics, and set the vision for Procurement, FP&amp;A, and Treasury.</w:t>
            </w:r>
          </w:p>
          <w:p>
            <w:pPr>
              <w:widowControl w:val="0"/>
              <w:spacing w:before="0" w:after="64" w:line="269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Implemented Planful for the first three-statement forecasts and headcount planning and built the first Executive and Board dashboards in Looker; chaired a company-wide restructuring and supported the $150M Series B plus $50M in growth capital.</w:t>
            </w:r>
          </w:p>
          <w:p>
            <w:pPr>
              <w:widowControl w:val="0"/>
              <w:tabs>
                <w:tab w:pos="7834" w:val="right"/>
              </w:tabs>
              <w:spacing w:before="150" w:after="20" w:line="240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20"/>
                <w:rFonts w:ascii="Liberation Sans" w:hAnsi="Liberation Sans" w:cs="Liberation Sans"/>
              </w:rPr>
              <w:t>Principal Financial Analyst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20"/>
                <w:rFonts w:ascii="Liberation Sans" w:hAnsi="Liberation Sans" w:cs="Liberation Sans"/>
              </w:rPr>
              <w:t xml:space="preserve">  ·  Prosper</w:t>
            </w:r>
            <w:r>
              <w:rPr>
                <w:rFonts w:ascii="Liberation Sans" w:hAnsi="Liberation Sans"/>
                <w:b w:val="0"/>
                <w:i w:val="0"/>
                <w:color w:val="5B6B7B"/>
                <w:sz w:val="16"/>
                <w:rFonts w:ascii="Liberation Sans" w:hAnsi="Liberation Sans" w:cs="Liberation Sans"/>
              </w:rPr>
              <w:tab/>
              <w:t>07/2021 – 01/2022 · San Francisco, CA</w:t>
            </w:r>
          </w:p>
          <w:p>
            <w:pPr>
              <w:widowControl w:val="0"/>
              <w:spacing w:before="0" w:after="64" w:line="269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Led consolidated planning and reporting across P&amp;L and cash flow with quarterly guidance and long-term forecasting; built the planning and unit-economics analysis behind Prosper's credit card launch.</w:t>
            </w:r>
          </w:p>
          <w:p>
            <w:pPr>
              <w:widowControl w:val="0"/>
              <w:tabs>
                <w:tab w:pos="7834" w:val="right"/>
              </w:tabs>
              <w:spacing w:before="150" w:after="20" w:line="240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20"/>
                <w:rFonts w:ascii="Liberation Sans" w:hAnsi="Liberation Sans" w:cs="Liberation Sans"/>
              </w:rPr>
              <w:t>FP&amp;A Manager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20"/>
                <w:rFonts w:ascii="Liberation Sans" w:hAnsi="Liberation Sans" w:cs="Liberation Sans"/>
              </w:rPr>
              <w:t xml:space="preserve">  ·  iTradeNetwork</w:t>
            </w:r>
            <w:r>
              <w:rPr>
                <w:rFonts w:ascii="Liberation Sans" w:hAnsi="Liberation Sans"/>
                <w:b w:val="0"/>
                <w:i w:val="0"/>
                <w:color w:val="5B6B7B"/>
                <w:sz w:val="16"/>
                <w:rFonts w:ascii="Liberation Sans" w:hAnsi="Liberation Sans" w:cs="Liberation Sans"/>
              </w:rPr>
              <w:tab/>
              <w:t>10/2019 – 07/2021 · San Francisco, CA</w:t>
            </w:r>
          </w:p>
          <w:p>
            <w:pPr>
              <w:widowControl w:val="0"/>
              <w:spacing w:before="0" w:after="64" w:line="269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Managed revenue and EBITDA forecasts with variance analysis for the C-suite; built the first functional-cost model and implemented Planful, cutting close time 50%.</w:t>
            </w:r>
          </w:p>
          <w:p>
            <w:pPr>
              <w:widowControl w:val="0"/>
              <w:tabs>
                <w:tab w:pos="7834" w:val="right"/>
              </w:tabs>
              <w:spacing w:before="150" w:after="20" w:line="240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20"/>
                <w:rFonts w:ascii="Liberation Sans" w:hAnsi="Liberation Sans" w:cs="Liberation Sans"/>
              </w:rPr>
              <w:t>Senior Finance Analyst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20"/>
                <w:rFonts w:ascii="Liberation Sans" w:hAnsi="Liberation Sans" w:cs="Liberation Sans"/>
              </w:rPr>
              <w:t xml:space="preserve">  ·  MightyHive</w:t>
            </w:r>
            <w:r>
              <w:rPr>
                <w:rFonts w:ascii="Liberation Sans" w:hAnsi="Liberation Sans"/>
                <w:b w:val="0"/>
                <w:i w:val="0"/>
                <w:color w:val="5B6B7B"/>
                <w:sz w:val="16"/>
                <w:rFonts w:ascii="Liberation Sans" w:hAnsi="Liberation Sans" w:cs="Liberation Sans"/>
              </w:rPr>
              <w:tab/>
              <w:t>05/2018 – 10/2019 · San Francisco, CA</w:t>
            </w:r>
          </w:p>
          <w:p>
            <w:pPr>
              <w:widowControl w:val="0"/>
              <w:spacing w:before="0" w:after="64" w:line="269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Led global billing through hypergrowth from $100M to $1B in revenue; global finance partner through the $150M public merger with S4 Capital, overseeing accounting, consolidations, close, and treasury on NetSuite under US GAAP.</w:t>
            </w:r>
          </w:p>
          <w:p>
            <w:pPr>
              <w:widowControl w:val="0"/>
              <w:spacing w:before="220" w:after="68" w:line="240" w:lineRule="auto"/>
              <w:pBdr>
                <w:bottom w:val="single" w:sz="6" w:space="2" w:color="C3CDD7"/>
              </w:pBdr>
            </w:pPr>
            <w:r>
              <w:rPr>
                <w:rFonts w:ascii="Liberation Sans" w:hAnsi="Liberation Sans"/>
                <w:b/>
                <w:i w:val="0"/>
                <w:color w:val="1B2735"/>
                <w:sz w:val="18"/>
                <w:rFonts w:ascii="Liberation Sans" w:hAnsi="Liberation Sans" w:cs="Liberation Sans"/>
                <w:spacing w:val="30"/>
              </w:rPr>
              <w:t>EARLIER EXPERIENCE</w:t>
            </w:r>
          </w:p>
          <w:p>
            <w:pPr>
              <w:widowControl w:val="0"/>
              <w:spacing w:before="0" w:after="64" w:line="269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8"/>
                <w:rFonts w:ascii="Liberation Sans" w:hAnsi="Liberation Sans" w:cs="Liberation Sans"/>
              </w:rPr>
              <w:t xml:space="preserve">Controller, Harvard Eye Associates (2016 – 2018).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Led due diligence for a $78M PE acquisition; lowered AR days 72%, moving cash flow from negative $1.2M to positive $650K.</w:t>
            </w:r>
          </w:p>
          <w:p>
            <w:pPr>
              <w:widowControl w:val="0"/>
              <w:spacing w:before="0" w:after="64" w:line="269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8"/>
                <w:rFonts w:ascii="Liberation Sans" w:hAnsi="Liberation Sans" w:cs="Liberation Sans"/>
              </w:rPr>
              <w:t xml:space="preserve">Practice Administrator, Retina Consultants of Nevada (2013 – 2016).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Ran operations for a six-office, 90+ FTE practice; grew revenue from $12M to $15M and reduced denials 35%.</w:t>
            </w:r>
          </w:p>
        </w:tc>
      </w:tr>
    </w:tbl>
    <w:sectPr w:rsidR="00FC693F" w:rsidRPr="0006063C" w:rsidSect="00034616">
      <w:pgSz w:w="12240" w:h="15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Liberation Sans" w:hAnsi="Liberation San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