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HOW I WORK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AI-native building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0-to-1 ownership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High agency, low supervision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Cross-functional leadership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Systems &amp; control design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Executive communication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Claude &amp; Claude Code, MCP connectors, multi-agent orchestration, scheduled runs, eval and run logs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collections, security questionnaire autofill, evidence pipelines, docs sync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Numeric, Ramp, Chargebee, Stripe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Thoropass, Anrok, Looker, Tableau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Salesforce, HubSpot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hire, built the function from zero, and now run it as sole senior leader, then built a library of production AI agents on top of it that run AR collections and enterprise security diligence end to end. I work where product, engineering, GTM, and finance overlap: I find the problem, scope it, ship the system, and own the outcome without waiting for a spec. A decade of finance and fintech operating depth is what tells me which problems are worth automating.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Invoice Butler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AI-driven AR collections engine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chasing, cutting AR aging from 126 days to 43: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Compliance Agent Ecosystem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multi-agent system for security &amp; vendor-risk diligence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gates, hitting a 95% completion rate on questionnaires running to 1,000 questions.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First finance hire at a Series B fintech; built the entire function from zero and run it as sole senior leader across FP&amp;A, Accounting, Revenue Operations, Compliance, and Treasury.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Compressed month-end close from 31 days to 7 in four months and to 5 by year-end 2025 by rebuilding the process and the stack, not by hiring. Delivered the first-ever consolidated U.S.–Israel financials, migrating onto Campfire in 48 hours against a 2–6 month industry benchmark.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ten core platforms (Campfire, Ramp, Runway, Drivetrain, Anrok, Growfin, Thoropass, Safebase, QuotaPath, Guideline) and moved accounting from outsourced to in-house, hiring the team that replaced a $144K/yr fractional CFO and $88.5K/yr outsourced FP&amp;A.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FP&amp;A as an operating system (three-statement model, ARR waterfall, sales-capacity and headcount models, and driver-based scenarios fed by HubSpot, Campfire, and GCP) behind april's $40M Series B and Series C readiness.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