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126 → 43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aging at april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Rewrote partner pricing around a platform fee billed on top of filing usage rather than against it, a single structural change that nearly doubled the book to a $25M ending run rate at 158% net revenue retention, from a base where only 2 of 28 partners had ever hit their contract minimums.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 that cut AR aging from 126 days to 43, and a Compliance Agent Ecosystem that answers security and vendor-risk questionnaires at a 95% completion rate on questionnaires running to 1,000 questions.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