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Introduced a platform fee billed on top of filing usage rather than against it, repricing a book where only 2 of 28 partners hit minimums and taking net revenue retention to 158% on pricing structure alone, with hard gross-margin floors, a 25% discount cap, and deal-desk governance.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