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224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484"/>
        <w:gridCol w:w="8755"/>
      </w:tblGrid>
      <w:tr>
        <w:trPr>
          <w:trHeight w:hRule="exact" w:val="15840"/>
        </w:trPr>
        <w:tc>
          <w:tcPr>
            <w:tcW w:type="dxa" w:w="3485"/>
            <w:shd w:val="clear" w:color="auto" w:fill="1B2735"/>
            <w:tcMar>
              <w:top w:w="604" w:type="dxa"/>
              <w:start w:w="374" w:type="dxa"/>
              <w:bottom w:w="144" w:type="dxa"/>
              <w:end w:w="345" w:type="dxa"/>
            </w:tcMar>
          </w:tcPr>
          <w:p>
            <w:pPr>
              <w:widowControl w:val="0"/>
              <w:spacing w:before="0" w:after="0" w:line="206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42"/>
                <w:rFonts w:ascii="Liberation Sans" w:hAnsi="Liberation Sans" w:cs="Liberation Sans"/>
                <w:spacing w:val="40"/>
              </w:rPr>
              <w:t>ERIK</w:t>
            </w:r>
          </w:p>
          <w:p>
            <w:pPr>
              <w:widowControl w:val="0"/>
              <w:spacing w:before="0" w:after="160" w:line="206" w:lineRule="auto"/>
            </w:pPr>
            <w:r>
              <w:rPr>
                <w:rFonts w:ascii="Liberation Sans" w:hAnsi="Liberation Sans"/>
                <w:b/>
                <w:i w:val="0"/>
                <w:color w:val="7FB3D9"/>
                <w:sz w:val="42"/>
                <w:rFonts w:ascii="Liberation Sans" w:hAnsi="Liberation Sans" w:cs="Liberation Sans"/>
                <w:spacing w:val="40"/>
              </w:rPr>
              <w:t>LEAVELL</w:t>
            </w:r>
          </w:p>
          <w:p>
            <w:pPr>
              <w:widowControl w:val="0"/>
              <w:spacing w:before="0" w:after="24" w:line="240" w:lineRule="auto"/>
            </w:pP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>917-912-1275</w:t>
            </w:r>
          </w:p>
          <w:p>
            <w:pPr>
              <w:widowControl w:val="0"/>
              <w:spacing w:before="0" w:after="24" w:line="240" w:lineRule="auto"/>
            </w:pP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>eleavell@gmail.com</w:t>
            </w:r>
          </w:p>
          <w:p>
            <w:pPr>
              <w:widowControl w:val="0"/>
              <w:spacing w:before="0" w:after="24" w:line="240" w:lineRule="auto"/>
            </w:pP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>linkedin.com/in/erikleavell</w:t>
            </w:r>
          </w:p>
          <w:p>
            <w:pPr>
              <w:widowControl w:val="0"/>
              <w:spacing w:before="0" w:after="24" w:line="240" w:lineRule="auto"/>
            </w:pP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>New York, NY</w:t>
            </w:r>
          </w:p>
          <w:p>
            <w:pPr>
              <w:widowControl w:val="0"/>
              <w:spacing w:before="300" w:after="52" w:line="240" w:lineRule="auto"/>
              <w:pBdr>
                <w:bottom w:val="single" w:sz="4" w:space="2" w:color="3E5468"/>
              </w:pBdr>
            </w:pPr>
            <w:r>
              <w:rPr>
                <w:rFonts w:ascii="Liberation Sans" w:hAnsi="Liberation Sans"/>
                <w:b/>
                <w:i w:val="0"/>
                <w:color w:val="7FB3D9"/>
                <w:sz w:val="16"/>
                <w:rFonts w:ascii="Liberation Sans" w:hAnsi="Liberation Sans" w:cs="Liberation Sans"/>
                <w:spacing w:val="24"/>
              </w:rPr>
              <w:t>LEADERSHIP SCOPE</w:t>
            </w:r>
          </w:p>
          <w:p>
            <w:pPr>
              <w:widowControl w:val="0"/>
              <w:spacing w:before="0" w:after="112" w:line="266" w:lineRule="auto"/>
            </w:pP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>FP&amp;A &amp; Strategic Finance</w:t>
            </w:r>
          </w:p>
          <w:p>
            <w:pPr>
              <w:widowControl w:val="0"/>
              <w:spacing w:before="0" w:after="112" w:line="266" w:lineRule="auto"/>
            </w:pP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>Accounting &amp; Controllership</w:t>
            </w:r>
          </w:p>
          <w:p>
            <w:pPr>
              <w:widowControl w:val="0"/>
              <w:spacing w:before="0" w:after="112" w:line="266" w:lineRule="auto"/>
            </w:pP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>Technical Accounting &amp; Rev Rec</w:t>
            </w:r>
          </w:p>
          <w:p>
            <w:pPr>
              <w:widowControl w:val="0"/>
              <w:spacing w:before="0" w:after="112" w:line="266" w:lineRule="auto"/>
            </w:pP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>Audit, SOC &amp; Risk Governance</w:t>
            </w:r>
          </w:p>
          <w:p>
            <w:pPr>
              <w:widowControl w:val="0"/>
              <w:spacing w:before="0" w:after="112" w:line="266" w:lineRule="auto"/>
            </w:pP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>Tax &amp; Multi-Entity Compliance</w:t>
            </w:r>
          </w:p>
          <w:p>
            <w:pPr>
              <w:widowControl w:val="0"/>
              <w:spacing w:before="0" w:after="112" w:line="266" w:lineRule="auto"/>
            </w:pP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>Treasury &amp; Working Capital</w:t>
            </w:r>
          </w:p>
          <w:p>
            <w:pPr>
              <w:widowControl w:val="0"/>
              <w:spacing w:before="0" w:after="112" w:line="266" w:lineRule="auto"/>
            </w:pP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>Investor Relations &amp; Board Reporting</w:t>
            </w:r>
          </w:p>
          <w:p>
            <w:pPr>
              <w:widowControl w:val="0"/>
              <w:spacing w:before="0" w:after="112" w:line="266" w:lineRule="auto"/>
            </w:pP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>Global Consolidation (US / Israel)</w:t>
            </w:r>
          </w:p>
          <w:p>
            <w:pPr>
              <w:widowControl w:val="0"/>
              <w:spacing w:before="0" w:after="112" w:line="266" w:lineRule="auto"/>
            </w:pP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>Procurement &amp; Vendor Strategy</w:t>
            </w:r>
          </w:p>
          <w:p>
            <w:pPr>
              <w:widowControl w:val="0"/>
              <w:spacing w:before="0" w:after="112" w:line="266" w:lineRule="auto"/>
            </w:pP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>Team Building, Comp &amp; Leveling</w:t>
            </w:r>
          </w:p>
          <w:p>
            <w:pPr>
              <w:widowControl w:val="0"/>
              <w:spacing w:before="0" w:after="112" w:line="266" w:lineRule="auto"/>
            </w:pP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>AI &amp; Finance Automation</w:t>
            </w:r>
          </w:p>
          <w:p>
            <w:pPr>
              <w:widowControl w:val="0"/>
              <w:spacing w:before="300" w:after="52" w:line="240" w:lineRule="auto"/>
              <w:pBdr>
                <w:bottom w:val="single" w:sz="4" w:space="2" w:color="3E5468"/>
              </w:pBdr>
            </w:pPr>
            <w:r>
              <w:rPr>
                <w:rFonts w:ascii="Liberation Sans" w:hAnsi="Liberation Sans"/>
                <w:b/>
                <w:i w:val="0"/>
                <w:color w:val="7FB3D9"/>
                <w:sz w:val="16"/>
                <w:rFonts w:ascii="Liberation Sans" w:hAnsi="Liberation Sans" w:cs="Liberation Sans"/>
                <w:spacing w:val="24"/>
              </w:rPr>
              <w:t>BY THE NUMBERS</w:t>
            </w:r>
          </w:p>
          <w:p>
            <w:pPr>
              <w:widowControl w:val="0"/>
              <w:spacing w:before="0" w:after="112" w:line="266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  <w:rFonts w:ascii="Liberation Sans" w:hAnsi="Liberation Sans" w:cs="Liberation Sans"/>
              </w:rPr>
              <w:t>31 → 5 days</w:t>
            </w: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 xml:space="preserve"> month-end close</w:t>
            </w:r>
          </w:p>
          <w:p>
            <w:pPr>
              <w:widowControl w:val="0"/>
              <w:spacing w:before="0" w:after="112" w:line="266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  <w:rFonts w:ascii="Liberation Sans" w:hAnsi="Liberation Sans" w:cs="Liberation Sans"/>
              </w:rPr>
              <w:t>2 consecutive</w:t>
            </w: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 xml:space="preserve"> clean KPMG audits</w:t>
            </w:r>
          </w:p>
          <w:p>
            <w:pPr>
              <w:widowControl w:val="0"/>
              <w:spacing w:before="0" w:after="112" w:line="266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  <w:rFonts w:ascii="Liberation Sans" w:hAnsi="Liberation Sans" w:cs="Liberation Sans"/>
              </w:rPr>
              <w:t>$250M+</w:t>
            </w: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 xml:space="preserve"> raised across Series B and C</w:t>
            </w:r>
          </w:p>
          <w:p>
            <w:pPr>
              <w:widowControl w:val="0"/>
              <w:spacing w:before="0" w:after="112" w:line="266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  <w:rFonts w:ascii="Liberation Sans" w:hAnsi="Liberation Sans" w:cs="Liberation Sans"/>
              </w:rPr>
              <w:t>+25% valuation</w:t>
            </w: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 xml:space="preserve"> and 6–8 months of runway</w:t>
            </w:r>
          </w:p>
          <w:p>
            <w:pPr>
              <w:widowControl w:val="0"/>
              <w:spacing w:before="0" w:after="112" w:line="266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  <w:rFonts w:ascii="Liberation Sans" w:hAnsi="Liberation Sans" w:cs="Liberation Sans"/>
              </w:rPr>
              <w:t>$100M → $1B</w:t>
            </w: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 xml:space="preserve"> revenue scale-up at MightyHive</w:t>
            </w:r>
          </w:p>
          <w:p>
            <w:pPr>
              <w:widowControl w:val="0"/>
              <w:spacing w:before="0" w:after="112" w:line="266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  <w:rFonts w:ascii="Liberation Sans" w:hAnsi="Liberation Sans" w:cs="Liberation Sans"/>
              </w:rPr>
              <w:t>126 → 43 days</w:t>
            </w: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 xml:space="preserve"> AR aging at april</w:t>
            </w:r>
          </w:p>
          <w:p>
            <w:pPr>
              <w:widowControl w:val="0"/>
              <w:spacing w:before="300" w:after="52" w:line="240" w:lineRule="auto"/>
              <w:pBdr>
                <w:bottom w:val="single" w:sz="4" w:space="2" w:color="3E5468"/>
              </w:pBdr>
            </w:pPr>
            <w:r>
              <w:rPr>
                <w:rFonts w:ascii="Liberation Sans" w:hAnsi="Liberation Sans"/>
                <w:b/>
                <w:i w:val="0"/>
                <w:color w:val="7FB3D9"/>
                <w:sz w:val="16"/>
                <w:rFonts w:ascii="Liberation Sans" w:hAnsi="Liberation Sans" w:cs="Liberation Sans"/>
                <w:spacing w:val="24"/>
              </w:rPr>
              <w:t>FINANCE STACK</w:t>
            </w:r>
          </w:p>
          <w:p>
            <w:pPr>
              <w:widowControl w:val="0"/>
              <w:spacing w:before="0" w:after="112" w:line="266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  <w:rFonts w:ascii="Liberation Sans" w:hAnsi="Liberation Sans" w:cs="Liberation Sans"/>
              </w:rPr>
              <w:t>Close &amp; GL</w:t>
            </w: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 xml:space="preserve"> Campfire, NetSuite, Sage Intacct, Numeric, QuickBooks</w:t>
            </w:r>
          </w:p>
          <w:p>
            <w:pPr>
              <w:widowControl w:val="0"/>
              <w:spacing w:before="0" w:after="112" w:line="266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  <w:rFonts w:ascii="Liberation Sans" w:hAnsi="Liberation Sans" w:cs="Liberation Sans"/>
              </w:rPr>
              <w:t>FP&amp;A</w:t>
            </w: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 xml:space="preserve"> Runway, Drivetrain, Planful, Anaplan, Pigment</w:t>
            </w:r>
          </w:p>
          <w:p>
            <w:pPr>
              <w:widowControl w:val="0"/>
              <w:spacing w:before="0" w:after="112" w:line="266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  <w:rFonts w:ascii="Liberation Sans" w:hAnsi="Liberation Sans" w:cs="Liberation Sans"/>
              </w:rPr>
              <w:t>Spend &amp; AP</w:t>
            </w: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 xml:space="preserve"> Ramp, Zip, Brex, Bill.com</w:t>
            </w:r>
          </w:p>
          <w:p>
            <w:pPr>
              <w:widowControl w:val="0"/>
              <w:spacing w:before="0" w:after="112" w:line="266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  <w:rFonts w:ascii="Liberation Sans" w:hAnsi="Liberation Sans" w:cs="Liberation Sans"/>
              </w:rPr>
              <w:t>Billing &amp; Rev Rec</w:t>
            </w: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 xml:space="preserve"> Campfire, Growfin, Chargebee, Stripe, Maxio, Tabs</w:t>
            </w:r>
          </w:p>
          <w:p>
            <w:pPr>
              <w:widowControl w:val="0"/>
              <w:spacing w:before="0" w:after="112" w:line="266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  <w:rFonts w:ascii="Liberation Sans" w:hAnsi="Liberation Sans" w:cs="Liberation Sans"/>
              </w:rPr>
              <w:t>Tax</w:t>
            </w: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 xml:space="preserve"> Anrok, Neo.Tax, Sphere</w:t>
            </w:r>
          </w:p>
          <w:p>
            <w:pPr>
              <w:widowControl w:val="0"/>
              <w:spacing w:before="0" w:after="112" w:line="266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  <w:rFonts w:ascii="Liberation Sans" w:hAnsi="Liberation Sans" w:cs="Liberation Sans"/>
              </w:rPr>
              <w:t>Compliance &amp; GRC</w:t>
            </w: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 xml:space="preserve"> Thoropass, Safebase, Drata</w:t>
            </w:r>
          </w:p>
          <w:p>
            <w:pPr>
              <w:widowControl w:val="0"/>
              <w:spacing w:before="0" w:after="112" w:line="266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  <w:rFonts w:ascii="Liberation Sans" w:hAnsi="Liberation Sans" w:cs="Liberation Sans"/>
              </w:rPr>
              <w:t>People &amp; Equity</w:t>
            </w: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 xml:space="preserve"> Justworks, Carta, Rippling, QuotaPath, Guideline</w:t>
            </w:r>
          </w:p>
          <w:p>
            <w:pPr>
              <w:widowControl w:val="0"/>
              <w:spacing w:before="0" w:after="112" w:line="266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  <w:rFonts w:ascii="Liberation Sans" w:hAnsi="Liberation Sans" w:cs="Liberation Sans"/>
              </w:rPr>
              <w:t>BI &amp; CRM</w:t>
            </w: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 xml:space="preserve"> Looker, Tableau, Salesforce, HubSpot</w:t>
            </w:r>
          </w:p>
          <w:p>
            <w:pPr>
              <w:widowControl w:val="0"/>
              <w:spacing w:before="300" w:after="52" w:line="240" w:lineRule="auto"/>
              <w:pBdr>
                <w:bottom w:val="single" w:sz="4" w:space="2" w:color="3E5468"/>
              </w:pBdr>
            </w:pPr>
            <w:r>
              <w:rPr>
                <w:rFonts w:ascii="Liberation Sans" w:hAnsi="Liberation Sans"/>
                <w:b/>
                <w:i w:val="0"/>
                <w:color w:val="7FB3D9"/>
                <w:sz w:val="16"/>
                <w:rFonts w:ascii="Liberation Sans" w:hAnsi="Liberation Sans" w:cs="Liberation Sans"/>
                <w:spacing w:val="24"/>
              </w:rPr>
              <w:t>EDUCATION</w:t>
            </w:r>
          </w:p>
          <w:p>
            <w:pPr>
              <w:widowControl w:val="0"/>
              <w:spacing w:before="0" w:after="112" w:line="266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6"/>
                <w:rFonts w:ascii="Liberation Sans" w:hAnsi="Liberation Sans" w:cs="Liberation Sans"/>
              </w:rPr>
              <w:t>B.S. Business Strategy &amp; Public Health</w:t>
            </w:r>
          </w:p>
          <w:p>
            <w:pPr>
              <w:widowControl w:val="0"/>
              <w:spacing w:before="0" w:after="112" w:line="266" w:lineRule="auto"/>
            </w:pPr>
            <w:r>
              <w:rPr>
                <w:rFonts w:ascii="Liberation Sans" w:hAnsi="Liberation Sans"/>
                <w:b w:val="0"/>
                <w:i w:val="0"/>
                <w:color w:val="D9E2EC"/>
                <w:sz w:val="16"/>
                <w:rFonts w:ascii="Liberation Sans" w:hAnsi="Liberation Sans" w:cs="Liberation Sans"/>
              </w:rPr>
              <w:t>Brigham Young University, 2014</w:t>
            </w:r>
          </w:p>
        </w:tc>
        <w:tc>
          <w:tcPr>
            <w:tcW w:type="dxa" w:w="8755"/>
            <w:tcMar>
              <w:top w:w="633" w:type="dxa"/>
              <w:start w:w="432" w:type="dxa"/>
              <w:bottom w:w="144" w:type="dxa"/>
              <w:end w:w="489" w:type="dxa"/>
            </w:tcMar>
          </w:tcPr>
          <w:p>
            <w:pPr>
              <w:widowControl w:val="0"/>
              <w:spacing w:before="0" w:after="68" w:line="240" w:lineRule="auto"/>
              <w:pBdr>
                <w:bottom w:val="single" w:sz="6" w:space="2" w:color="C3CDD7"/>
              </w:pBdr>
            </w:pPr>
            <w:r>
              <w:rPr>
                <w:rFonts w:ascii="Liberation Sans" w:hAnsi="Liberation Sans"/>
                <w:b/>
                <w:i w:val="0"/>
                <w:color w:val="1B2735"/>
                <w:sz w:val="17"/>
                <w:rFonts w:ascii="Liberation Sans" w:hAnsi="Liberation Sans" w:cs="Liberation Sans"/>
                <w:spacing w:val="30"/>
              </w:rPr>
              <w:t>SUMMARY</w:t>
            </w:r>
          </w:p>
          <w:p>
            <w:pPr>
              <w:widowControl w:val="0"/>
              <w:spacing w:before="0" w:after="0" w:line="254" w:lineRule="auto"/>
              <w:jc w:val="both"/>
            </w:pPr>
            <w:r>
              <w:rPr>
                <w:rFonts w:ascii="Liberation Sans" w:hAnsi="Liberation Sans"/>
                <w:b w:val="0"/>
                <w:i w:val="0"/>
                <w:color w:val="2E3A46"/>
                <w:sz w:val="17"/>
                <w:rFonts w:ascii="Liberation Sans" w:hAnsi="Liberation Sans" w:cs="Liberation Sans"/>
              </w:rPr>
              <w:t>Finance executive who builds finance functions that scale. I run FP&amp;A, Accounting, Revenue Operations, and Compliance at april as its sole senior finance leader, a function I built from zero as the company's first finance hire. Ten-plus years across SaaS and fintech: GAAP accounting and audit-ready governance stood up from scratch, global consolidations delivered, $250M+ in capital supported, and manual, vendor-dependent operations replaced with automated systems that run leaner than the headcount they displace.</w:t>
            </w:r>
          </w:p>
          <w:p>
            <w:pPr>
              <w:widowControl w:val="0"/>
              <w:spacing w:before="160" w:after="68" w:line="240" w:lineRule="auto"/>
              <w:pBdr>
                <w:bottom w:val="single" w:sz="6" w:space="2" w:color="C3CDD7"/>
              </w:pBdr>
            </w:pPr>
            <w:r>
              <w:rPr>
                <w:rFonts w:ascii="Liberation Sans" w:hAnsi="Liberation Sans"/>
                <w:b/>
                <w:i w:val="0"/>
                <w:color w:val="1B2735"/>
                <w:sz w:val="17"/>
                <w:rFonts w:ascii="Liberation Sans" w:hAnsi="Liberation Sans" w:cs="Liberation Sans"/>
                <w:spacing w:val="30"/>
              </w:rPr>
              <w:t>EXPERIENCE</w:t>
            </w:r>
          </w:p>
          <w:p>
            <w:pPr>
              <w:widowControl w:val="0"/>
              <w:tabs>
                <w:tab w:pos="7834" w:val="right"/>
              </w:tabs>
              <w:spacing w:before="0" w:after="20" w:line="240" w:lineRule="auto"/>
            </w:pPr>
            <w:r>
              <w:rPr>
                <w:rFonts w:ascii="Liberation Sans" w:hAnsi="Liberation Sans"/>
                <w:b/>
                <w:i w:val="0"/>
                <w:color w:val="1B2735"/>
                <w:sz w:val="19"/>
                <w:rFonts w:ascii="Liberation Sans" w:hAnsi="Liberation Sans" w:cs="Liberation Sans"/>
              </w:rPr>
              <w:t>Director of Finance</w:t>
            </w:r>
            <w:r>
              <w:rPr>
                <w:rFonts w:ascii="Liberation Sans" w:hAnsi="Liberation Sans"/>
                <w:b w:val="0"/>
                <w:i w:val="0"/>
                <w:color w:val="2E3A46"/>
                <w:sz w:val="19"/>
                <w:rFonts w:ascii="Liberation Sans" w:hAnsi="Liberation Sans" w:cs="Liberation Sans"/>
              </w:rPr>
              <w:t xml:space="preserve">  ·  april</w:t>
            </w:r>
            <w:r>
              <w:rPr>
                <w:rFonts w:ascii="Liberation Sans" w:hAnsi="Liberation Sans"/>
                <w:b w:val="0"/>
                <w:i w:val="0"/>
                <w:color w:val="5B6B7B"/>
                <w:sz w:val="15"/>
                <w:rFonts w:ascii="Liberation Sans" w:hAnsi="Liberation Sans" w:cs="Liberation Sans"/>
              </w:rPr>
              <w:tab/>
              <w:t>12/2024 – Present · New York, NY</w:t>
            </w:r>
          </w:p>
          <w:p>
            <w:pPr>
              <w:widowControl w:val="0"/>
              <w:spacing w:before="0" w:after="48" w:line="254" w:lineRule="auto"/>
              <w:ind w:left="187" w:hanging="187"/>
            </w:pPr>
            <w:r>
              <w:rPr>
                <w:rFonts w:ascii="Liberation Sans" w:hAnsi="Liberation Sans"/>
                <w:b w:val="0"/>
                <w:i w:val="0"/>
                <w:color w:val="2E3A46"/>
                <w:sz w:val="17"/>
                <w:rFonts w:ascii="Liberation Sans" w:hAnsi="Liberation Sans" w:cs="Liberation Sans"/>
              </w:rPr>
              <w:t xml:space="preserve">– </w:t>
            </w:r>
            <w:r>
              <w:rPr>
                <w:rFonts w:ascii="Liberation Sans" w:hAnsi="Liberation Sans"/>
                <w:b w:val="0"/>
                <w:i w:val="0"/>
                <w:color w:val="2E3A46"/>
                <w:sz w:val="17"/>
                <w:rFonts w:ascii="Liberation Sans" w:hAnsi="Liberation Sans" w:cs="Liberation Sans"/>
              </w:rPr>
              <w:t>First finance hire; built the entire function from zero and run it as sole senior leader across FP&amp;A, Accounting, Revenue Operations, Compliance, and Treasury for a Series B fintech running U.S. and Israeli entities.</w:t>
            </w:r>
          </w:p>
          <w:p>
            <w:pPr>
              <w:widowControl w:val="0"/>
              <w:spacing w:before="0" w:after="48" w:line="254" w:lineRule="auto"/>
              <w:ind w:left="187" w:hanging="187"/>
            </w:pPr>
            <w:r>
              <w:rPr>
                <w:rFonts w:ascii="Liberation Sans" w:hAnsi="Liberation Sans"/>
                <w:b w:val="0"/>
                <w:i w:val="0"/>
                <w:color w:val="2E3A46"/>
                <w:sz w:val="17"/>
                <w:rFonts w:ascii="Liberation Sans" w:hAnsi="Liberation Sans" w:cs="Liberation Sans"/>
              </w:rPr>
              <w:t xml:space="preserve">– </w:t>
            </w:r>
            <w:r>
              <w:rPr>
                <w:rFonts w:ascii="Liberation Sans" w:hAnsi="Liberation Sans"/>
                <w:b w:val="0"/>
                <w:i w:val="0"/>
                <w:color w:val="2E3A46"/>
                <w:sz w:val="17"/>
                <w:rFonts w:ascii="Liberation Sans" w:hAnsi="Liberation Sans" w:cs="Liberation Sans"/>
              </w:rPr>
              <w:t>Compressed month-end close from 31 days to 7 within four months and to 5 by year-end 2025, and delivered april's first-ever consolidated U.S.–Israel financials, migrating the company onto Campfire in 48 hours against a 2–6 month industry benchmark.</w:t>
            </w:r>
          </w:p>
          <w:p>
            <w:pPr>
              <w:widowControl w:val="0"/>
              <w:spacing w:before="0" w:after="48" w:line="254" w:lineRule="auto"/>
              <w:ind w:left="187" w:hanging="187"/>
            </w:pPr>
            <w:r>
              <w:rPr>
                <w:rFonts w:ascii="Liberation Sans" w:hAnsi="Liberation Sans"/>
                <w:b w:val="0"/>
                <w:i w:val="0"/>
                <w:color w:val="2E3A46"/>
                <w:sz w:val="17"/>
                <w:rFonts w:ascii="Liberation Sans" w:hAnsi="Liberation Sans" w:cs="Liberation Sans"/>
              </w:rPr>
              <w:t xml:space="preserve">– </w:t>
            </w:r>
            <w:r>
              <w:rPr>
                <w:rFonts w:ascii="Liberation Sans" w:hAnsi="Liberation Sans"/>
                <w:b w:val="0"/>
                <w:i w:val="0"/>
                <w:color w:val="2E3A46"/>
                <w:sz w:val="17"/>
                <w:rFonts w:ascii="Liberation Sans" w:hAnsi="Liberation Sans" w:cs="Liberation Sans"/>
              </w:rPr>
              <w:t>Moved accounting from outsourced and consultant-dependent to fully in-house: closed the 2024 books, resolved intercompany, deferred revenue, and AP/AR cleanup, ran a 2024 revenue restatement, and authored the technical accounting library (ASC 606, 842, 810, 830, 718), all while offboarding a $144K/yr fractional CFO and $88.5K/yr outsourced FP&amp;A, consolidating four tax and audit firms into one, and hiring the Accounting Manager and Staff Accountant who replaced them.</w:t>
            </w:r>
          </w:p>
          <w:p>
            <w:pPr>
              <w:widowControl w:val="0"/>
              <w:spacing w:before="0" w:after="48" w:line="254" w:lineRule="auto"/>
              <w:ind w:left="187" w:hanging="187"/>
            </w:pPr>
            <w:r>
              <w:rPr>
                <w:rFonts w:ascii="Liberation Sans" w:hAnsi="Liberation Sans"/>
                <w:b w:val="0"/>
                <w:i w:val="0"/>
                <w:color w:val="2E3A46"/>
                <w:sz w:val="17"/>
                <w:rFonts w:ascii="Liberation Sans" w:hAnsi="Liberation Sans" w:cs="Liberation Sans"/>
              </w:rPr>
              <w:t xml:space="preserve">– </w:t>
            </w:r>
            <w:r>
              <w:rPr>
                <w:rFonts w:ascii="Liberation Sans" w:hAnsi="Liberation Sans"/>
                <w:b w:val="0"/>
                <w:i w:val="0"/>
                <w:color w:val="2E3A46"/>
                <w:sz w:val="17"/>
                <w:rFonts w:ascii="Liberation Sans" w:hAnsi="Liberation Sans" w:cs="Liberation Sans"/>
              </w:rPr>
              <w:t>Led april through its first-ever KPMG audit to a clean opinion and repeated it the following year; ran the SOC 1 audit independently, supported SOC 2 Type II, and stood up risk governance: Risk Committee charter, controls documentation, and the policy library behind enterprise diligence for regulated financial-institution customers.</w:t>
            </w:r>
          </w:p>
          <w:p>
            <w:pPr>
              <w:widowControl w:val="0"/>
              <w:spacing w:before="0" w:after="48" w:line="254" w:lineRule="auto"/>
              <w:ind w:left="187" w:hanging="187"/>
            </w:pPr>
            <w:r>
              <w:rPr>
                <w:rFonts w:ascii="Liberation Sans" w:hAnsi="Liberation Sans"/>
                <w:b w:val="0"/>
                <w:i w:val="0"/>
                <w:color w:val="2E3A46"/>
                <w:sz w:val="17"/>
                <w:rFonts w:ascii="Liberation Sans" w:hAnsi="Liberation Sans" w:cs="Liberation Sans"/>
              </w:rPr>
              <w:t xml:space="preserve">– </w:t>
            </w:r>
            <w:r>
              <w:rPr>
                <w:rFonts w:ascii="Liberation Sans" w:hAnsi="Liberation Sans"/>
                <w:b w:val="0"/>
                <w:i w:val="0"/>
                <w:color w:val="2E3A46"/>
                <w:sz w:val="17"/>
                <w:rFonts w:ascii="Liberation Sans" w:hAnsi="Liberation Sans" w:cs="Liberation Sans"/>
              </w:rPr>
              <w:t>Implemented ten core platforms (Campfire, Ramp, Runway, Drivetrain, Anrok, Growfin, Guideline, QuotaPath, Thoropass, and Safebase), rebuilding ASC 606 billing and revenue recognition, AP and procurement controls, automated multi-jurisdiction sales tax, collections, commissions, and trust infrastructure.</w:t>
            </w:r>
          </w:p>
          <w:p>
            <w:pPr>
              <w:widowControl w:val="0"/>
              <w:spacing w:before="0" w:after="48" w:line="254" w:lineRule="auto"/>
              <w:ind w:left="187" w:hanging="187"/>
            </w:pPr>
            <w:r>
              <w:rPr>
                <w:rFonts w:ascii="Liberation Sans" w:hAnsi="Liberation Sans"/>
                <w:b w:val="0"/>
                <w:i w:val="0"/>
                <w:color w:val="2E3A46"/>
                <w:sz w:val="17"/>
                <w:rFonts w:ascii="Liberation Sans" w:hAnsi="Liberation Sans" w:cs="Liberation Sans"/>
              </w:rPr>
              <w:t xml:space="preserve">– </w:t>
            </w:r>
            <w:r>
              <w:rPr>
                <w:rFonts w:ascii="Liberation Sans" w:hAnsi="Liberation Sans"/>
                <w:b w:val="0"/>
                <w:i w:val="0"/>
                <w:color w:val="2E3A46"/>
                <w:sz w:val="17"/>
                <w:rFonts w:ascii="Liberation Sans" w:hAnsi="Liberation Sans" w:cs="Liberation Sans"/>
              </w:rPr>
              <w:t>Built FP&amp;A as an operating system: three-statement model, ARR waterfall and snowball, sales-capacity and headcount models, unit economics, and driver-based scenarios fed by HubSpot, Campfire, and GCP; the board's primary forecasting reference and the basis for april's $40M Series B and Series C readiness.</w:t>
            </w:r>
          </w:p>
          <w:p>
            <w:pPr>
              <w:widowControl w:val="0"/>
              <w:spacing w:before="0" w:after="48" w:line="254" w:lineRule="auto"/>
              <w:ind w:left="187" w:hanging="187"/>
            </w:pPr>
            <w:r>
              <w:rPr>
                <w:rFonts w:ascii="Liberation Sans" w:hAnsi="Liberation Sans"/>
                <w:b w:val="0"/>
                <w:i w:val="0"/>
                <w:color w:val="2E3A46"/>
                <w:sz w:val="17"/>
                <w:rFonts w:ascii="Liberation Sans" w:hAnsi="Liberation Sans" w:cs="Liberation Sans"/>
              </w:rPr>
              <w:t xml:space="preserve">– </w:t>
            </w:r>
            <w:r>
              <w:rPr>
                <w:rFonts w:ascii="Liberation Sans" w:hAnsi="Liberation Sans"/>
                <w:b w:val="0"/>
                <w:i w:val="0"/>
                <w:color w:val="2E3A46"/>
                <w:sz w:val="17"/>
                <w:rFonts w:ascii="Liberation Sans" w:hAnsi="Liberation Sans" w:cs="Liberation Sans"/>
              </w:rPr>
              <w:t>Built the people infrastructure behind a scaling finance org: compensation and equity philosophy, career ladders and leveling guides, performance review framework, workforce planning SOP, and commission plans.</w:t>
            </w:r>
          </w:p>
          <w:p>
            <w:pPr>
              <w:widowControl w:val="0"/>
              <w:spacing w:before="0" w:after="48" w:line="254" w:lineRule="auto"/>
              <w:ind w:left="187" w:hanging="187"/>
            </w:pPr>
            <w:r>
              <w:rPr>
                <w:rFonts w:ascii="Liberation Sans" w:hAnsi="Liberation Sans"/>
                <w:b w:val="0"/>
                <w:i w:val="0"/>
                <w:color w:val="2E3A46"/>
                <w:sz w:val="17"/>
                <w:rFonts w:ascii="Liberation Sans" w:hAnsi="Liberation Sans" w:cs="Liberation Sans"/>
              </w:rPr>
              <w:t xml:space="preserve">– </w:t>
            </w:r>
            <w:r>
              <w:rPr>
                <w:rFonts w:ascii="Liberation Sans" w:hAnsi="Liberation Sans"/>
                <w:b w:val="0"/>
                <w:i w:val="0"/>
                <w:color w:val="2E3A46"/>
                <w:sz w:val="17"/>
                <w:rFonts w:ascii="Liberation Sans" w:hAnsi="Liberation Sans" w:cs="Liberation Sans"/>
              </w:rPr>
              <w:t>Built a growing library of AI agents on top of the finance stack, including Invoice Butler, an AI-driven AR collections engine that cut AR aging from 126 days to 43, and a Compliance Agent Ecosystem that answers security and vendor-risk questionnaires at a 95% completion rate on questionnaires running to 1,000 questions.</w:t>
            </w:r>
          </w:p>
          <w:p>
            <w:pPr>
              <w:widowControl w:val="0"/>
              <w:tabs>
                <w:tab w:pos="7834" w:val="right"/>
              </w:tabs>
              <w:spacing w:before="116" w:after="20" w:line="240" w:lineRule="auto"/>
            </w:pPr>
            <w:r>
              <w:rPr>
                <w:rFonts w:ascii="Liberation Sans" w:hAnsi="Liberation Sans"/>
                <w:b/>
                <w:i w:val="0"/>
                <w:color w:val="1B2735"/>
                <w:sz w:val="19"/>
                <w:rFonts w:ascii="Liberation Sans" w:hAnsi="Liberation Sans" w:cs="Liberation Sans"/>
              </w:rPr>
              <w:t>VP of Finance &amp; Operations</w:t>
            </w:r>
            <w:r>
              <w:rPr>
                <w:rFonts w:ascii="Liberation Sans" w:hAnsi="Liberation Sans"/>
                <w:b w:val="0"/>
                <w:i w:val="0"/>
                <w:color w:val="2E3A46"/>
                <w:sz w:val="19"/>
                <w:rFonts w:ascii="Liberation Sans" w:hAnsi="Liberation Sans" w:cs="Liberation Sans"/>
              </w:rPr>
              <w:t xml:space="preserve">  ·  Kisi</w:t>
            </w:r>
            <w:r>
              <w:rPr>
                <w:rFonts w:ascii="Liberation Sans" w:hAnsi="Liberation Sans"/>
                <w:b w:val="0"/>
                <w:i w:val="0"/>
                <w:color w:val="5B6B7B"/>
                <w:sz w:val="15"/>
                <w:rFonts w:ascii="Liberation Sans" w:hAnsi="Liberation Sans" w:cs="Liberation Sans"/>
              </w:rPr>
              <w:tab/>
              <w:t>02/2024 – 12/2024 · New York, NY</w:t>
            </w:r>
          </w:p>
          <w:p>
            <w:pPr>
              <w:widowControl w:val="0"/>
              <w:spacing w:before="0" w:after="48" w:line="254" w:lineRule="auto"/>
              <w:ind w:left="187" w:hanging="187"/>
            </w:pPr>
            <w:r>
              <w:rPr>
                <w:rFonts w:ascii="Liberation Sans" w:hAnsi="Liberation Sans"/>
                <w:b w:val="0"/>
                <w:i w:val="0"/>
                <w:color w:val="2E3A46"/>
                <w:sz w:val="17"/>
                <w:rFonts w:ascii="Liberation Sans" w:hAnsi="Liberation Sans" w:cs="Liberation Sans"/>
              </w:rPr>
              <w:t xml:space="preserve">– </w:t>
            </w:r>
            <w:r>
              <w:rPr>
                <w:rFonts w:ascii="Liberation Sans" w:hAnsi="Liberation Sans"/>
                <w:b w:val="0"/>
                <w:i w:val="0"/>
                <w:color w:val="2E3A46"/>
                <w:sz w:val="17"/>
                <w:rFonts w:ascii="Liberation Sans" w:hAnsi="Liberation Sans" w:cs="Liberation Sans"/>
              </w:rPr>
              <w:t>Owned strategic direction across FP&amp;A, Accounting, People, Legal, Operations, and Revenue Operations; drove a 25% valuation increase and 6–8 months of added runway within six months through net working capital and pricing optimization.</w:t>
            </w:r>
          </w:p>
          <w:p>
            <w:pPr>
              <w:widowControl w:val="0"/>
              <w:spacing w:before="0" w:after="48" w:line="254" w:lineRule="auto"/>
              <w:ind w:left="187" w:hanging="187"/>
            </w:pPr>
            <w:r>
              <w:rPr>
                <w:rFonts w:ascii="Liberation Sans" w:hAnsi="Liberation Sans"/>
                <w:b w:val="0"/>
                <w:i w:val="0"/>
                <w:color w:val="2E3A46"/>
                <w:sz w:val="17"/>
                <w:rFonts w:ascii="Liberation Sans" w:hAnsi="Liberation Sans" w:cs="Liberation Sans"/>
              </w:rPr>
              <w:t xml:space="preserve">– </w:t>
            </w:r>
            <w:r>
              <w:rPr>
                <w:rFonts w:ascii="Liberation Sans" w:hAnsi="Liberation Sans"/>
                <w:b w:val="0"/>
                <w:i w:val="0"/>
                <w:color w:val="2E3A46"/>
                <w:sz w:val="17"/>
                <w:rFonts w:ascii="Liberation Sans" w:hAnsi="Liberation Sans" w:cs="Liberation Sans"/>
              </w:rPr>
              <w:t>Ran a full-scale 2023 restatement and deployed Chargebee for accurate, timely revenue recognition; launched new GTM and pricing strategies that added 10% to net profit margin.</w:t>
            </w:r>
          </w:p>
          <w:p>
            <w:pPr>
              <w:widowControl w:val="0"/>
              <w:tabs>
                <w:tab w:pos="7834" w:val="right"/>
              </w:tabs>
              <w:spacing w:before="116" w:after="20" w:line="240" w:lineRule="auto"/>
            </w:pPr>
            <w:r>
              <w:rPr>
                <w:rFonts w:ascii="Liberation Sans" w:hAnsi="Liberation Sans"/>
                <w:b/>
                <w:i w:val="0"/>
                <w:color w:val="1B2735"/>
                <w:sz w:val="19"/>
                <w:rFonts w:ascii="Liberation Sans" w:hAnsi="Liberation Sans" w:cs="Liberation Sans"/>
              </w:rPr>
              <w:t>Director of Finance</w:t>
            </w:r>
            <w:r>
              <w:rPr>
                <w:rFonts w:ascii="Liberation Sans" w:hAnsi="Liberation Sans"/>
                <w:b w:val="0"/>
                <w:i w:val="0"/>
                <w:color w:val="2E3A46"/>
                <w:sz w:val="19"/>
                <w:rFonts w:ascii="Liberation Sans" w:hAnsi="Liberation Sans" w:cs="Liberation Sans"/>
              </w:rPr>
              <w:t xml:space="preserve">  ·  Prime Trust</w:t>
            </w:r>
            <w:r>
              <w:rPr>
                <w:rFonts w:ascii="Liberation Sans" w:hAnsi="Liberation Sans"/>
                <w:b w:val="0"/>
                <w:i w:val="0"/>
                <w:color w:val="5B6B7B"/>
                <w:sz w:val="15"/>
                <w:rFonts w:ascii="Liberation Sans" w:hAnsi="Liberation Sans" w:cs="Liberation Sans"/>
              </w:rPr>
              <w:tab/>
              <w:t>01/2022 – 02/2024 · New York, NY</w:t>
            </w:r>
          </w:p>
          <w:p>
            <w:pPr>
              <w:widowControl w:val="0"/>
              <w:spacing w:before="0" w:after="48" w:line="254" w:lineRule="auto"/>
              <w:ind w:left="187" w:hanging="187"/>
            </w:pPr>
            <w:r>
              <w:rPr>
                <w:rFonts w:ascii="Liberation Sans" w:hAnsi="Liberation Sans"/>
                <w:b w:val="0"/>
                <w:i w:val="0"/>
                <w:color w:val="2E3A46"/>
                <w:sz w:val="17"/>
                <w:rFonts w:ascii="Liberation Sans" w:hAnsi="Liberation Sans" w:cs="Liberation Sans"/>
              </w:rPr>
              <w:t xml:space="preserve">– </w:t>
            </w:r>
            <w:r>
              <w:rPr>
                <w:rFonts w:ascii="Liberation Sans" w:hAnsi="Liberation Sans"/>
                <w:b w:val="0"/>
                <w:i w:val="0"/>
                <w:color w:val="2E3A46"/>
                <w:sz w:val="17"/>
                <w:rFonts w:ascii="Liberation Sans" w:hAnsi="Liberation Sans" w:cs="Liberation Sans"/>
              </w:rPr>
              <w:t>Hired as FP&amp;A Manager and promoted to Director; built the company's first FP&amp;A team, set the vision for Procurement, FP&amp;A, and Treasury, and built the first revenue, operating, and GTM models plus a predictive churn model with Sales leadership using machine learning.</w:t>
            </w:r>
          </w:p>
          <w:p>
            <w:pPr>
              <w:widowControl w:val="0"/>
              <w:spacing w:before="0" w:after="48" w:line="254" w:lineRule="auto"/>
              <w:ind w:left="187" w:hanging="187"/>
            </w:pPr>
            <w:r>
              <w:rPr>
                <w:rFonts w:ascii="Liberation Sans" w:hAnsi="Liberation Sans"/>
                <w:b w:val="0"/>
                <w:i w:val="0"/>
                <w:color w:val="2E3A46"/>
                <w:sz w:val="17"/>
                <w:rFonts w:ascii="Liberation Sans" w:hAnsi="Liberation Sans" w:cs="Liberation Sans"/>
              </w:rPr>
              <w:t xml:space="preserve">– </w:t>
            </w:r>
            <w:r>
              <w:rPr>
                <w:rFonts w:ascii="Liberation Sans" w:hAnsi="Liberation Sans"/>
                <w:b w:val="0"/>
                <w:i w:val="0"/>
                <w:color w:val="2E3A46"/>
                <w:sz w:val="17"/>
                <w:rFonts w:ascii="Liberation Sans" w:hAnsi="Liberation Sans" w:cs="Liberation Sans"/>
              </w:rPr>
              <w:t>Implemented Planful for the first three-statement forecasts and headcount planning and built the first Executive and Board dashboards in Looker; chaired a company-wide restructuring, presented results to the Board, supported the $150M Series B, and raised an additional $50M in growth capital.</w:t>
            </w:r>
          </w:p>
          <w:p>
            <w:pPr>
              <w:widowControl w:val="0"/>
              <w:spacing w:before="160" w:after="68" w:line="240" w:lineRule="auto"/>
              <w:pBdr>
                <w:bottom w:val="single" w:sz="6" w:space="2" w:color="C3CDD7"/>
              </w:pBdr>
            </w:pPr>
            <w:r>
              <w:rPr>
                <w:rFonts w:ascii="Liberation Sans" w:hAnsi="Liberation Sans"/>
                <w:b/>
                <w:i w:val="0"/>
                <w:color w:val="1B2735"/>
                <w:sz w:val="17"/>
                <w:rFonts w:ascii="Liberation Sans" w:hAnsi="Liberation Sans" w:cs="Liberation Sans"/>
                <w:spacing w:val="30"/>
              </w:rPr>
              <w:t>EARLIER EXPERIENCE</w:t>
            </w:r>
          </w:p>
          <w:p>
            <w:pPr>
              <w:widowControl w:val="0"/>
              <w:spacing w:before="0" w:after="48" w:line="254" w:lineRule="auto"/>
            </w:pPr>
            <w:r>
              <w:rPr>
                <w:rFonts w:ascii="Liberation Sans" w:hAnsi="Liberation Sans"/>
                <w:b/>
                <w:i w:val="0"/>
                <w:color w:val="1B2735"/>
                <w:sz w:val="17"/>
                <w:rFonts w:ascii="Liberation Sans" w:hAnsi="Liberation Sans" w:cs="Liberation Sans"/>
              </w:rPr>
              <w:t xml:space="preserve">Principal Financial Analyst, Prosper (2021 – 2022). </w:t>
            </w:r>
            <w:r>
              <w:rPr>
                <w:rFonts w:ascii="Liberation Sans" w:hAnsi="Liberation Sans"/>
                <w:b w:val="0"/>
                <w:i w:val="0"/>
                <w:color w:val="2E3A46"/>
                <w:sz w:val="17"/>
                <w:rFonts w:ascii="Liberation Sans" w:hAnsi="Liberation Sans" w:cs="Liberation Sans"/>
              </w:rPr>
              <w:t>Consolidated planning across P&amp;L and cash flow; built the unit economics behind Prosper's credit card launch.</w:t>
            </w:r>
          </w:p>
          <w:p>
            <w:pPr>
              <w:widowControl w:val="0"/>
              <w:spacing w:before="0" w:after="48" w:line="254" w:lineRule="auto"/>
            </w:pPr>
            <w:r>
              <w:rPr>
                <w:rFonts w:ascii="Liberation Sans" w:hAnsi="Liberation Sans"/>
                <w:b/>
                <w:i w:val="0"/>
                <w:color w:val="1B2735"/>
                <w:sz w:val="17"/>
                <w:rFonts w:ascii="Liberation Sans" w:hAnsi="Liberation Sans" w:cs="Liberation Sans"/>
              </w:rPr>
              <w:t xml:space="preserve">FP&amp;A Manager, iTradeNetwork (2019 – 2021). </w:t>
            </w:r>
            <w:r>
              <w:rPr>
                <w:rFonts w:ascii="Liberation Sans" w:hAnsi="Liberation Sans"/>
                <w:b w:val="0"/>
                <w:i w:val="0"/>
                <w:color w:val="2E3A46"/>
                <w:sz w:val="17"/>
                <w:rFonts w:ascii="Liberation Sans" w:hAnsi="Liberation Sans" w:cs="Liberation Sans"/>
              </w:rPr>
              <w:t>Owned revenue and EBITDA forecasting for the C-suite; built the first functional-cost model and implemented Planful, cutting close 50%.</w:t>
            </w:r>
          </w:p>
          <w:p>
            <w:pPr>
              <w:widowControl w:val="0"/>
              <w:spacing w:before="0" w:after="48" w:line="254" w:lineRule="auto"/>
            </w:pPr>
            <w:r>
              <w:rPr>
                <w:rFonts w:ascii="Liberation Sans" w:hAnsi="Liberation Sans"/>
                <w:b/>
                <w:i w:val="0"/>
                <w:color w:val="1B2735"/>
                <w:sz w:val="17"/>
                <w:rFonts w:ascii="Liberation Sans" w:hAnsi="Liberation Sans" w:cs="Liberation Sans"/>
              </w:rPr>
              <w:t xml:space="preserve">Senior Finance Analyst, MightyHive (2018 – 2019). </w:t>
            </w:r>
            <w:r>
              <w:rPr>
                <w:rFonts w:ascii="Liberation Sans" w:hAnsi="Liberation Sans"/>
                <w:b w:val="0"/>
                <w:i w:val="0"/>
                <w:color w:val="2E3A46"/>
                <w:sz w:val="17"/>
                <w:rFonts w:ascii="Liberation Sans" w:hAnsi="Liberation Sans" w:cs="Liberation Sans"/>
              </w:rPr>
              <w:t>Ran global billing through $100M-to-$1B hypergrowth; finance partner on the $150M public merger with S4 Capital, overseeing consolidations and treasury on NetSuite under US GAAP.</w:t>
            </w:r>
          </w:p>
          <w:p>
            <w:pPr>
              <w:widowControl w:val="0"/>
              <w:spacing w:before="0" w:after="48" w:line="254" w:lineRule="auto"/>
            </w:pPr>
            <w:r>
              <w:rPr>
                <w:rFonts w:ascii="Liberation Sans" w:hAnsi="Liberation Sans"/>
                <w:b/>
                <w:i w:val="0"/>
                <w:color w:val="1B2735"/>
                <w:sz w:val="17"/>
                <w:rFonts w:ascii="Liberation Sans" w:hAnsi="Liberation Sans" w:cs="Liberation Sans"/>
              </w:rPr>
              <w:t xml:space="preserve">Controller, Harvard Eye Associates (2016 – 2018). </w:t>
            </w:r>
            <w:r>
              <w:rPr>
                <w:rFonts w:ascii="Liberation Sans" w:hAnsi="Liberation Sans"/>
                <w:b w:val="0"/>
                <w:i w:val="0"/>
                <w:color w:val="2E3A46"/>
                <w:sz w:val="17"/>
                <w:rFonts w:ascii="Liberation Sans" w:hAnsi="Liberation Sans" w:cs="Liberation Sans"/>
              </w:rPr>
              <w:t>Led due diligence for a $78M PE acquisition; lowered AR days 72%, moving cash flow from negative $1.2M to positive $650K.</w:t>
            </w:r>
          </w:p>
          <w:p>
            <w:pPr>
              <w:widowControl w:val="0"/>
              <w:spacing w:before="0" w:after="48" w:line="254" w:lineRule="auto"/>
            </w:pPr>
            <w:r>
              <w:rPr>
                <w:rFonts w:ascii="Liberation Sans" w:hAnsi="Liberation Sans"/>
                <w:b/>
                <w:i w:val="0"/>
                <w:color w:val="1B2735"/>
                <w:sz w:val="17"/>
                <w:rFonts w:ascii="Liberation Sans" w:hAnsi="Liberation Sans" w:cs="Liberation Sans"/>
              </w:rPr>
              <w:t xml:space="preserve">Practice Administrator, Retina Consultants of Nevada (2013 – 2016). </w:t>
            </w:r>
            <w:r>
              <w:rPr>
                <w:rFonts w:ascii="Liberation Sans" w:hAnsi="Liberation Sans"/>
                <w:b w:val="0"/>
                <w:i w:val="0"/>
                <w:color w:val="2E3A46"/>
                <w:sz w:val="17"/>
                <w:rFonts w:ascii="Liberation Sans" w:hAnsi="Liberation Sans" w:cs="Liberation Sans"/>
              </w:rPr>
              <w:t>Ran a six-office, 90+ FTE practice; grew revenue from $12M to $15M and reduced denials 35%.</w:t>
            </w:r>
          </w:p>
        </w:tc>
      </w:tr>
    </w:tbl>
    <w:sectPr w:rsidR="00FC693F" w:rsidRPr="0006063C" w:rsidSect="00034616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