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 —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 —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 — closing the 2024 books, resolving intercompany, deferred revenue, and AP/AR cleanup, running a 2024 revenue restatement, and authoring the technical accounting library (ASC 606, 842, 810, 830, 718) —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 —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— Campfire, Ramp, Runway, Drivetrain, Anrok, Growfin, Guideline, QuotaPath, Thoropass, and Safebase —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 —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the people infrastructure behind a scaling finance org: compensation and equity philosophy, career ladders and leveling guides, performance review framework, workforce planning SOP, and commission plans.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engine, and a Compliance Agent Ecosystem automating security and vendor-risk questionnaires.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