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LEADERSHIP SCOPE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FP&amp;A &amp; Strategic Finance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Accounting &amp; Controllership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Technical Accounting &amp; Rev Rec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Audit, SOC &amp; Risk Governance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Tax &amp; Multi-Entity Compliance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Treasury &amp; Working Capital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Investor Relations &amp; Board Reporting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Global Consolidation (US / Israel)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Procurement &amp; Vendor Strategy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Team Building, Comp &amp; Leveling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 &amp; Finance Automation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BY THE NUMBERS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31 → 5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month-end close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2 consecutive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clean KPMG audits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$250M+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raised across Series B and C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+25% valuation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and 6–8 months of runway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$100M → $1B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revenue scale-up at MightyHive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126 → 43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aging at april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STACK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Close &amp; GL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Sage Intacct, Numeric, QuickBooks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FP&amp;A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Runway, Drivetrain, Planful, Anaplan, Pigment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Spend &amp; AP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Ramp, Zip, Brex, Bill.com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Billing &amp; Rev Rec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Growfin, Chargebee, Stripe, Maxio, Tabs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Tax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Anrok, Neo.Tax, Sphere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GRC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Thoropass, Safebase, Drata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People &amp; Equity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Justworks, Carta, Rippling, QuotaPath, Guideline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BI &amp; 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Looker, Tableau, Salesforce, HubSpot</w:t>
            </w:r>
          </w:p>
          <w:p>
            <w:pPr>
              <w:widowControl w:val="0"/>
              <w:spacing w:before="30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12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SUMMARY</w:t>
            </w:r>
          </w:p>
          <w:p>
            <w:pPr>
              <w:widowControl w:val="0"/>
              <w:spacing w:before="0" w:after="0" w:line="254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Finance executive who builds finance functions that scale. I run FP&amp;A, Accounting, Revenue Operations, and Compliance at april as its sole senior finance leader, a function I built from zero as the company's first finance hire. Ten-plus years across SaaS and fintech: GAAP accounting and audit-ready governance stood up from scratch, global consolidations delivered, $250M+ in capital supported, and manual, vendor-dependent operations replaced with automated systems that run leaner than the headcount they displace.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First finance hire; built the entire function from zero and run it as sole senior leader across FP&amp;A, Accounting, Revenue Operations, Compliance, and Treasury for a Series B fintech running U.S. and Israeli entities.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Compressed month-end close from 31 days to 7 within four months and to 5 by year-end 2025, and delivered april's first-ever consolidated U.S.–Israel financials, migrating the company onto Campfire in 48 hours against a 2–6 month industry benchmark.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Moved accounting from outsourced and consultant-dependent to fully in-house: closed the 2024 books, resolved intercompany, deferred revenue, and AP/AR cleanup, ran a 2024 revenue restatement, and authored the technical accounting library (ASC 606, 842, 810, 830, 718), all while offboarding a $144K/yr fractional CFO and $88.5K/yr outsourced FP&amp;A, consolidating four tax and audit firms into one, and hiring the Accounting Manager and Staff Accountant who replaced them.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april through its first-ever KPMG audit to a clean opinion and repeated it the following year; ran the SOC 1 audit independently, supported SOC 2 Type II, and stood up risk governance: Risk Committee charter, controls documentation, and the policy library behind enterprise diligence for regulated financial-institution customers.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ten core platforms (Campfire, Ramp, Runway, Drivetrain, Anrok, Growfin, Guideline, QuotaPath, Thoropass, and Safebase), rebuilding ASC 606 billing and revenue recognition, AP and procurement controls, automated multi-jurisdiction sales tax, collections, commissions, and trust infrastructure.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FP&amp;A as an operating system: three-statement model, ARR waterfall and snowball, sales-capacity and headcount models, unit economics, and driver-based scenarios fed by HubSpot, Campfire, and GCP; the board's primary forecasting reference and the basis for april's $40M Series B and Series C readiness.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Rebuilt partner pricing against unit economics after only 2 of 28 partners hit minimums: a three-layer rate card with hard gross-margin floors, a 25% discount cap, and deal-desk governance, plus the renewal playbook behind a 115% NRR target and a $500K–$750K reset on the largest account.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Built a growing library of AI agents on top of the finance stack, including Invoice Butler, an AI-driven AR collections engine that cut AR aging from 126 days to 43, and a Compliance Agent Ecosystem that answers security and vendor-risk questionnaires at a 95% completion rate on questionnaires running to 1,000 questions.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 within six months through net working capital and pricing optimization.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full-scale 2023 restatement and deployed Chargebee for accurate, timely revenue recognition; launched new GTM and pricing strategies that added 10% to net profit margin.</w:t>
            </w:r>
          </w:p>
          <w:p>
            <w:pPr>
              <w:widowControl w:val="0"/>
              <w:tabs>
                <w:tab w:pos="7834" w:val="right"/>
              </w:tabs>
              <w:spacing w:before="116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9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9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5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Hired as FP&amp;A Manager and promoted to Director; built the company's first FP&amp;A team, set the vision for Procurement, FP&amp;A, and Treasury, and built the first revenue, operating, and GTM models plus a predictive churn model with Sales leadership using machine learning.</w:t>
            </w:r>
          </w:p>
          <w:p>
            <w:pPr>
              <w:widowControl w:val="0"/>
              <w:spacing w:before="0" w:after="48" w:line="254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Implemented Planful for the first three-statement forecasts and headcount planning and built the first Executive and Board dashboards in Looker; chaired a company-wide restructuring, presented results to the Board, supported the $150M Series B, and raised an additional $50M in growth capital.</w:t>
            </w:r>
          </w:p>
          <w:p>
            <w:pPr>
              <w:widowControl w:val="0"/>
              <w:spacing w:before="16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Consolidated planning across P&amp;L and cash flow; built the unit economics behind Prosper's credit card launch.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Owned revenue and EBITDA forecasting for the C-suite; built the first functional-cost model and implemented Planful, cutting close 50%.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global billing through $100M-to-$1B hypergrowth; finance partner on the $150M public merger with S4 Capital, overseeing consolidations and treasury on NetSuite under US GAAP.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  <w:p>
            <w:pPr>
              <w:widowControl w:val="0"/>
              <w:spacing w:before="0" w:after="48" w:line="254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7"/>
                <w:rFonts w:ascii="Liberation Sans" w:hAnsi="Liberation Sans" w:cs="Liberation Sans"/>
              </w:rPr>
              <w:t xml:space="preserve">Practice Administrator, Retina Consultants of Nevada (2013 – 2016).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7"/>
                <w:rFonts w:ascii="Liberation Sans" w:hAnsi="Liberation Sans" w:cs="Liberation Sans"/>
              </w:rPr>
              <w:t>Ran a six-office, 90+ FTE practice; grew revenue from $12M to $15M and reduced denials 35%.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