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ind/>
        <w:jc w:val="left"/>
      </w:pPr>
      <w:r>
        <w:rPr>
          <w:rFonts w:ascii="Times New Roman" w:cs="Times New Roman" w:eastAsia="Times New Roman" w:hAnsi="Times New Roman"/>
          <w:b w:val="false"/>
          <w:bCs w:val="false"/>
          <w:i w:val="false"/>
          <w:iCs w:val="false"/>
          <w:sz w:val="24"/>
          <w:szCs w:val="24"/>
        </w:rPr>
        <w:t xml:space="preserve">Erik Quintanilla Cruz</w:t>
      </w:r>
    </w:p>
    <w:p>
      <w:pPr>
        <w:spacing w:line="480" w:before="0" w:after="0"/>
        <w:ind/>
        <w:jc w:val="left"/>
      </w:pPr>
      <w:r>
        <w:rPr>
          <w:rFonts w:ascii="Times New Roman" w:cs="Times New Roman" w:eastAsia="Times New Roman" w:hAnsi="Times New Roman"/>
          <w:b w:val="false"/>
          <w:bCs w:val="false"/>
          <w:i w:val="false"/>
          <w:iCs w:val="false"/>
          <w:sz w:val="24"/>
          <w:szCs w:val="24"/>
        </w:rPr>
        <w:t xml:space="preserve">Instructor Name</w:t>
      </w:r>
    </w:p>
    <w:p>
      <w:pPr>
        <w:spacing w:line="480" w:before="0" w:after="0"/>
        <w:ind/>
        <w:jc w:val="left"/>
      </w:pPr>
      <w:r>
        <w:rPr>
          <w:rFonts w:ascii="Times New Roman" w:cs="Times New Roman" w:eastAsia="Times New Roman" w:hAnsi="Times New Roman"/>
          <w:b w:val="false"/>
          <w:bCs w:val="false"/>
          <w:i w:val="false"/>
          <w:iCs w:val="false"/>
          <w:sz w:val="24"/>
          <w:szCs w:val="24"/>
        </w:rPr>
        <w:t xml:space="preserve">Capstone Semester 1</w:t>
      </w:r>
    </w:p>
    <w:p>
      <w:pPr>
        <w:spacing w:line="480" w:before="0" w:after="0"/>
        <w:ind/>
        <w:jc w:val="left"/>
      </w:pPr>
      <w:r>
        <w:rPr>
          <w:rFonts w:ascii="Times New Roman" w:cs="Times New Roman" w:eastAsia="Times New Roman" w:hAnsi="Times New Roman"/>
          <w:b w:val="false"/>
          <w:bCs w:val="false"/>
          <w:i w:val="false"/>
          <w:iCs w:val="false"/>
          <w:sz w:val="24"/>
          <w:szCs w:val="24"/>
        </w:rPr>
        <w:t xml:space="preserve">19 September 2025</w:t>
      </w:r>
    </w:p>
    <w:p>
      <w:pPr>
        <w:spacing w:line="480" w:before="0" w:after="0"/>
      </w:pPr>
    </w:p>
    <w:p>
      <w:pPr>
        <w:spacing w:line="480" w:before="0" w:after="0"/>
        <w:ind/>
        <w:jc w:val="center"/>
      </w:pPr>
      <w:r>
        <w:rPr>
          <w:rFonts w:ascii="Times New Roman" w:cs="Times New Roman" w:eastAsia="Times New Roman" w:hAnsi="Times New Roman"/>
          <w:b w:val="false"/>
          <w:bCs w:val="false"/>
          <w:i w:val="false"/>
          <w:iCs w:val="false"/>
          <w:sz w:val="24"/>
          <w:szCs w:val="24"/>
        </w:rPr>
        <w:t xml:space="preserve">How to Build a Monetizable Brand and a Sustainable Business in Today’s Digital Economy</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Abstract</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This essay investigates the foundational steps and key strategies required to build a monetizable brand and a sustainable business in the digital economy. Drawing on systematic literature reviews, established brand management theories, and contemporary case studies, it addresses the central question: What are the essential strategies and foundational steps for constructing a monetizable brand and a sustainable business in today’s digital landscape? The essay synthesizes academic models, digital marketing tactics, monetization frameworks, and operational best practices, with a focus on small and medium-sized enterprises (SMEs) and the Latin American context, particularly El Salvador. Methodologically, the essay employs a mixed-methods approach, integrating literature review, case study analysis, and survey insights. The findings highlight the importance of brand orientation, identity development, digital marketing, customer-centricity, legal protection, and ethical sustainability.</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Introduction</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digital economy has fundamentally transformed the landscape of brand building and business development. In an era characterized by rapid technological innovation, global connectivity, and shifting consumer expectations, the ability to create a monetizable brand and a sustainable business is both an opportunity and a formidable challenge. Brands are no longer mere identifiers; they are complex constructs that embody values, foster relationships, and drive economic value. For small and medium-sized enterprises (SMEs) and startups, especially in emerging markets like Latin America, the digital revolution offers unprecedented access to tools, platforms, and audiences, while simultaneously introducing new complexities in competition, regulation, and sustainability.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This essay seeks to answer the central research question: What are the key strategies and foundational steps required to build a monetizable brand and sustainable business in today’s digital economy? The analysis is grounded in academic literature, authoritative business case studies, and practical frameworks, with a focus on actionable insights for aspiring entrepreneurs and business leaders. By synthesizing theoretical models, empirical research, and real-world examples from both global companies and Latin American enterprises, this work provides a comprehensive roadmap for navigating the challenges and opportunities of the digital age. The discussion proceeds from the theoretical foundations of brand management through practical monetization and marketing strategies, before culminating in case study analysis and broader implications for practice.</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Branding in the Digital Economy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Branding has evolved considerably from its historical focus on tangible assets—such as names, logos, and packaging—to encompass intangible dimensions like reputation, emotional connection, and digital presence. In the digital economy, brands are built and managed through a combination of strategic orientation, identity development, marketing communications, and performance measurement. Digitalization has democratized access to branding tools, enabling SMEs to compete with larger firms by leveraging social media, e-commerce platforms, and data analytics at relatively low cost. This democratization has fundamentally altered competitive dynamics, creating new entry points for entrepreneurs while simultaneously raising the bar for differentiation and authenticity.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Recent systematic reviews highlight four core elements of the branding process: brand orientation, brand identity, brand marketing, and brand performance. Brand orientation refers to the strategic importance of branding within an organization, shaping its culture and decision-making from the inside out. Brand identity encompasses the values, mission, and visual elements that define the brand’s public persona. Brand marketing involves the communication and experience-building activities that convey identity to stakeholders across channels. Finally, brand performance measures the psychological and financial outcomes of branding efforts, from consumer awareness and loyalty to market share and revenue growth. These four pillars are interdependent; weakness in any one dimension can undermine the effectiveness of the others and erode the brand equity that is essential to long-term sustainability.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Foundational theories and models inform contemporary brand management. Aaker’s Brand Equity Model emphasizes brand awareness, perceived quality, brand associations, and loyalty as key drivers of brand equity. Keller’s Customer-Based Brand Equity (CBBE) Model focuses on the differential effect of brand knowledge on consumer response to marketing activities, arguing that strong brands create distinct, favorable, and salient associations in the minds of consumers. Kapferer’s Brand Identity Prism integrates six facets—physique, personality, culture, relationship, reflection, and self-image—to articulate a holistic picture of brand identity. These models converge on the importance of building strong relationships with customers, aligning internal values with external perceptions, and continuously adapting to market changes. Businesses that anchor their strategy in these frameworks are better positioned to build lasting equity in an increasingly crowded digital marketplace.</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Monetization Models and Revenue Streams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Monetization is central to brand sustainability, and the digital economy has expanded the range of available models beyond traditional retail transactions. Subscription models generate recurring revenue from ongoing access to products or services, a structure popularized by software-as-a-service (SaaS) companies and streaming platforms. Research confirms that successful subscription-based business models require capturing value through sustainable revenue transactions, agile operations systems, and continuous improvement through business value analysis (Weland et al. 256). Agile operational infrastructure is particularly critical: without it, firms cannot respond to churn signals, personalize offerings, or scale efficiently as subscriber bases grow. Licensing models allow brands to monetize intellectual property by granting usage rights for a fee, a strategy common in software development and franchise systems.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Freemium and tiered pricing models offer basic services at no cost while charging for premium upgrades, a highly effective approach for digital products and mobile applications. The key to freemium success lies in identifying value thresholds—features compelling enough to motivate free users to convert to paid plans. Direct-to-consumer (DTC) sales, conducted through branded e-commerce platforms, allow companies to maintain control over the customer experience and gather first-party data without ceding margin to intermediaries. Marketplace models leverage third-party platforms such as Amazon, eBay, or Etsy, which introduce transaction and listing fees but provide access to large existing customer bases. Each monetization model presents unique trade-offs in terms of scalability, customer retention, and operational complexity, and many successful brands employ a diversified combination of revenue streams to reduce dependence on any single channel (Samoilenko 1).</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creator economy has added new dimensions to brand monetization. Research documents that creators increasingly build diverse income streams by linking their content to external platforms—including Patreon, merchandise stores, affiliate programs, and live events—thereby reducing their vulnerability to algorithm changes and platform policy shifts (Rieder et al. 1). This multi-platform, multi-revenue approach reflects a broader recognition that resilience requires diversification. Content creators who depend entirely on a single platform’s advertising revenue expose themselves to significant income volatility, as documented by Hödl and Myrach, who find that algorithmic control and incentivization create paradoxical tensions that affect creator autonomy and income predictability (Hödl and Myrach 497). The most sustainable creator-economy brands are those that treat any single platform as one channel among many rather than the foundation of the entire revenue model.</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Digital Marketing Channels and Tactics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Digital marketing encompasses a spectrum of channels and tactics that enable brands to reach, engage, and convert target audiences at scale. Social media platforms such as Instagram, TikTok, and Facebook are central to digital brand-building, offering both organic and paid content distribution. Short-form video content has emerged as a particularly powerful format for achieving viral reach, with TikTok and Instagram Reels enabling even small brands to reach millions of viewers without proportional advertising spend. Hashtag campaigns, interactive challenges, and community-driven contests further amplify reach by encouraging user participation and content creation. The participatory nature of these platforms transforms the audience from passive consumers into active co-creators of brand meaning, a dynamic that has significant implications for brand identity management.</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Content marketing and search engine optimization (SEO) provide a complementary long-term strategy. By producing educational, informative, or entertaining content aligned with audience search intent, brands establish thought leadership and drive organic traffic to their digital properties. Email marketing remains one of the highest-return channels available, enabling brands to communicate directly with segmented audiences through personalized campaigns. Platforms such as Mailchimp and HubSpot offer automation tools that make scalable, data-driven email marketing accessible to businesses of all sizes. Customer relationship management (CRM) systems integrated with email platforms allow brands to map the full customer lifecycle and deliver relevant communications at each stage of the journey, from initial awareness through post-purchase loyalty.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Influencer partnerships represent another critical tactic in contemporary digital marketing. Influencer marketing has evolved into a dominant force in the marketing landscape, with researchers introducing equity-driven frameworks that analyze how influencers contribute to customer equity, manage follower relationships, and enable platforms to maximize user value (Libai et al. 4). Brands that collaborate with influencers whose values and audiences align with their own can achieve significant gains in credibility and reach, particularly among younger demographic groups. The challenge lies in measuring return on investment accurately, as intermediary metrics such as impressions and engagement do not always translate directly to sales outcomes. Liu and Zhao’s meta-analysis of sponsorship disclosure in influencer marketing further demonstrates that disclosure practices, when handled transparently, can enhance rather than diminish consumer trust, challenging earlier assumptions about the uniformly negative effects of disclosure on persuasion (Liu and Zhao 1).</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Effective digital marketing is ultimately characterized by agility, creativity, and data-driven decision-making. Continuous measurement of key performance indicators—including engagement rates, conversion rates, customer acquisition cost (CAC), and customer lifetime value (LTV)—allows brands to iterate rapidly and allocate resources to the highest-performing channels and content formats. Analytics platforms transform raw behavioral data into actionable insights, enabling marketers to identify which creative approaches resonate with which audience segments and to personalize the brand experience at scale.</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Foundational Steps in Brand Building</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first step in building a monetizable brand is establishing brand orientation—the degree to which branding is embedded in the organization’s strategy and culture. This involves articulating a clear mission, vision, and set of values that guide decision-making and differentiate the brand in the marketplace. Research consistently demonstrates that SMEs with strong brand orientation outperform their peers in sales growth and customer loyalty, as their strategic coherence resonates more effectively with target audiences. Brand orientation is not merely a marketing concept but a fundamental organizational disposition that shapes hiring, product development, partnership decisions, and crisis response.</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Market research and customer segmentation form the empirical foundation of effective brand strategy. Demographic and psychographic analysis identifies customer segments based on variables such as age, gender, lifestyle, and values. Customer journey mapping charts the stages of the consumer experience from initial awareness through purchase and post-purchase engagement, revealing friction points and opportunities for improvement. Competitive analysis audits rival brands’ positioning, digital presence, and marketing strategies, identifying differentiation opportunities that the brand can exploit. Together, these research activities enable tailored messaging, product development, and marketing strategies that resonate with specific audiences rather than relying on generic, mass-market approaches that fail to generate meaningful connection or loyalty.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Business Model Canvas, a tool developed by Osterwalder and widely adopted in entrepreneurship education and practice, provides a structured framework for mapping the nine building blocks of a business: customer segments, value propositions, channels, customer relationships, revenue streams, key resources, key activities, key partnerships, and cost structure. This tool is particularly valuable for early-stage entrepreneurs who must articulate not just their product or service but the full system through which they will create, deliver, and capture value. Regular revisiting of the canvas as the business grows ensures that strategic assumptions are tested against market feedback and updated accordingly.</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Brand Identity Development</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Brand identity encompasses both conceptual and visual dimensions. Conceptually, it includes the brand’s name, values, positioning, and narrative. Visually, it consists of the logo, color palette, typography, imagery, and iconography that represent the brand across all touchpoints. A strong brand identity must be distinct enough to stand out among competitors, memorable enough to leave a lasting impression, scalable and flexible enough to adapt to new products and markets, and cohesive enough to maintain consistency across channels. These qualities are not mutually exclusive but must be balanced through deliberate design decisions that reflect both current market positioning and long-term aspirations.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Storytelling plays a particularly powerful role in brand identity development. Authentic narratives that reflect the founder’s journey, articulate the brand’s social impact, or foreground genuine customer experiences foster trust, emotional connection, and long-term loyalty. In the digital age, storytelling is distributed across multiple formats—video, long-form written content, podcasts, social media posts—each requiring adaptation while maintaining thematic and tonal consistency. Brand guidelines, which document the rules for applying visual and verbal identity elements, are essential tools for ensuring this consistency as organizations grow and teams expand. Without such documentation, brand expression becomes fragmented and inconsistent, undermining the cumulative equity that consistent presentation builds over time.</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concept of brand value co-creation, revisited by recent scholarship, challenges the traditional view of brand identity as something solely determined and controlled by the firm. In the digital economy, consumers actively contribute to brand meaning through user-generated content, social media commentary, community participation, and peer-to-peer recommendation. Brands that recognize and harness this co-creative dynamic—by creating participatory campaigns, amplifying community voices, and responding authentically to consumer input—build stronger and more resilient identities than those that treat brand communication as a one-way broadcast.</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Customer Acquisition, Retention, and Unit Economics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relationship between customer acquisition cost (CAC) and lifetime value (LTV) is among the most important metrics for assessing business sustainability. The LTV/CAC ratio measures how much value a customer generates relative to what it costs to acquire them; a ratio above 3.0 is generally considered healthy, indicating that each customer relationship generates sufficient value to justify the investment. Businesses with poor LTV/CAC ratios often struggle to scale profitably, as growth in customer acquisition spending outpaces the revenue those customers generate over time. Kumar and Reinartz’s foundational synthesis of customer lifetime value literature establishes that CLV models—which forecast the net present value of future cash flows from individual customer relationships—are among the most powerful tools available for guiding strategic resource allocation.</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Retention and loyalty programs are critical mechanisms for improving LTV. Research by Ascarza et al. provides a comprehensive review of customer retention management, establishing frameworks for identifying at-risk customers, designing targeted interventions, and measuring the outcomes of retention campaigns across the full customer lifecycle (Ascarza et al. 65). Points-based rewards systems, exclusive access programs, and community membership benefits incentivize repeat purchase and reduce churn. Community engagement—fostered through online forums, social media groups, branded events, and user-generated content initiatives—creates a sense of belonging that transforms customers into advocates. These advocates, in turn, reduce CAC by generating organic referrals, effectively subsidizing future growth. Regularly soliciting and acting on customer feedback creates a virtuous cycle of product improvement and customer satisfaction that reinforces retention.</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E-Commerce Platforms and Operations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selection of an e-commerce platform is a foundational operational decision that shapes the customer experience, data capabilities, and scalability of a digital business. Shopify’s case studies and platform strategy documents illustrate how its all-in-one infrastructure—combining hosting, payment processing, inventory management, and analytics—enables merchants to launch and grow DTC operations without extensive technical expertise. WooCommerce, by contrast, offers greater customization for merchants with technical resources who require tailored functionality. The platform selection decision should be driven by the brand’s current scale, technical capabilities, target markets, and long-term growth trajectory rather than by short-term cost considerations alone.</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Logistics and fulfillment are equally critical operational considerations. Partnering with third-party logistics (3PL) providers enables scalable warehousing, pick-and-pack, and shipping solutions without the capital investment required to build proprietary infrastructure. Leading providers include DHL, FedEx, UPS, ShipBob, and Amazon Fulfillment by Amazon (FBA), each offering different trade-offs in cost, speed, geographic reach, and integration capabilities. Offering diverse payment options—including credit cards, digital wallets, and in select markets cryptocurrencies—enhances accessibility and conversion rates. In El Salvador, digital wallets have been promoted as part of the country’s broader fintech experimentation, though merchant adoption and consumer uptake have remained uneven. Legal business structure is another foundational consideration; the U.S. Small Business Administration provides guidance on selecting among sole proprietorships, partnerships, LLCs, and corporations, with each structure carrying different implications for liability, taxation, and investment readiness.</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Community Building and the Creator Economy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Active brand communities drive user-generated content, advocacy, and organic growth. Digital communities organized around shared interests, identities, or values create network effects that amplify brand reach and reduce the cost of customer acquisition over time. The Patreon platform has emerged as a significant infrastructure for creator-economy community building. Research by Regner demonstrates that Patreon enables creators to generate a reliable monthly income by converting their most engaged fans into paying subscribers, with community features such as exclusive content, direct messaging, and behind-the-scenes access serving as key retention drivers (Regner 1). El Sanyoura and Anderson’s quantitative study of Patreon further documents the platform’s structure and the factors that predict creator success, finding that consistent content output, transparent communication with supporters, and a clearly articulated value proposition for paid membership are the most reliable predictors of sustainable income (El Sanyoura and Anderson 1).</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Emerging tokenization technologies, including non-fungible tokens (NFTs), have begun to reshape how brands conceptualize community ownership and exclusivity. Systematic reviews of NFT literature document their potential as mechanisms for creating verified digital ownership, enabling fan communities to hold stakes in creative projects and brand ecosystems (MDPI 1; IEEE 1). While the NFT market has experienced significant volatility, the underlying concept of tokenized community membership—in which participation confers verifiable, transferable digital rights—represents a genuinely novel approach to aligning brand community incentives with financial outcomes. Brands experimenting with these models must balance the speculative dynamics of digital asset markets with the trust and stability that sustained community engagement requires.</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Brand Protection, Legal Frameworks, and Crisis Management</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Brand protection and compliance are critical in the digital economy, where intellectual property can be copied, imitated, or misappropriated at scale and at speed. Registering trademarks, trade names, and logos is essential for establishing exclusive rights and creating legal recourse against infringement. In El Salvador and across the Latin American region, trademark registration processes involve application, publication, opposition periods, and payment of fees to the relevant national intellectual property office. Businesses operating across multiple markets must navigate the distinct legal frameworks of each jurisdiction, as trademark protection is territorial rather than universal.</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Data protection and privacy compliance have become increasingly central to brand reputation management, particularly as digital businesses collect and process large volumes of personal consumer data. Adhering to regulations such as the European Union’s General Data Protection Regulation (GDPR) and analogous local laws is both a legal obligation and a trust-building imperative. Brands that demonstrate transparent and ethical data practices differentiate themselves in an environment of growing consumer skepticism about digital privacy. Corporate social responsibility (CSR) initiatives—including environmental stewardship, ethical sourcing, and community engagement—further enhance brand image and equity by demonstrating alignment between commercial activity and broader social values. Brands must also be prepared to respond to crises—product recalls, data breaches, public controversies, or viral negative coverage—through transparent communication, corrective action, and consistent stakeholder engagement.</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Financial Planning, Forecasting, and Performance Metrics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Sound financial planning is indispensable for brand and business sustainability. SMEs often rely on a mix of bootstrapping, angel investment, venture capital, and government grants, and must demonstrate financial discipline and clear performance metrics to attract and retain investment. Research published in PLOS One on business forecasting methods provides a systematic review of the quantitative approaches—including time-series analysis, regression modeling, and machine learning—that organizations can deploy to forecast revenue, manage costs, and allocate resources effectively (Goodwin et al. 1). Accurate forecasting is particularly critical for subscription-based and DTC businesses, where revenue predictability is a key competitive advantage but depends on assumptions about churn, average order value, and acquisition costs that must be continuously tested against actual data.</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Lee and Kim’s research published in the Strategic Management Journal examines the conditions under which startups should scale their operations, finding that premature scaling—expanding headcount, marketing spend, and operational complexity before achieving product-market fit—is one of the most common causes of early-stage business failure (Lee and Kim 1). This research underscores the importance of disciplined sequencing: establishing a loyal customer base, validating monetization assumptions, and achieving unit-economic sustainability before pursuing aggressive growth. Brand valuation, which can be assessed through income-based, market-based, or cost-based approaches, provides a measure of the financial value attributable to the brand itself and informs strategic decisions around partnerships, licensing, and investor relations.</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Sustainability, Social Impact, and the Latin American Context</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Integrating sustainability into business models and brand narratives is increasingly a strategic imperative rather than an optional differentiator. Consumer values, particularly among Gen Z and millennial cohorts, increasingly prioritize environmental stewardship, social equity, and ethical business practice. Brands that authentically embed these commitments into product design, supply chain management, and marketing communications build more resilient reputations and stronger emotional connections with their audiences. CSR initiatives that go beyond superficial greenwashing to deliver measurable social and environmental impact also create material business value, reducing regulatory risk, attracting mission-aligned employees, and qualifying for sustainability-oriented investment.</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Latin American digital economy presents both distinctive opportunities and significant structural challenges for brand-building entrepreneurs. Rapid internet penetration, a young and digitally native population, and a vibrant startup ecosystem create favorable conditions for digital-first brands. El Salvador, in particular, has been the site of bold digital policy experimentation, including its adoption of Bitcoin as legal tender, a development that has attracted international attention and generated both innovative fintech activity and significant controversy around adoption rates and financial inclusion outcomes. SMEs in the region must navigate regulatory complexity, limited access to formal capital markets, and infrastructural constraints, but also benefit from the cultural authenticity and regional market knowledge that local brands can deploy as genuine competitive advantages against global incumbents.</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Case Studies in Digital Brand Strategy</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Glossier, a direct-to-consumer beauty brand founded in 2014, exemplifies the power of community-driven branding in the digital economy. Glossier leveraged social media, user-generated content, and authentic storytelling to build a loyal customer base without significant traditional advertising spend. The brand’s marketing approach—featuring real customers rather than professional models, encouraging community feedback on product development, and cultivating an aspirational but accessible aesthetic—resonated deeply with millennial and Gen Z consumers. By 2020, the brand was valued at approximately 1.8 billion dollars, with over three million customers and a growing presence in both digital and physical retail. Glossier’s success demonstrates that community engagement, authentic communication, and data-driven product iteration can generate substantial brand equity without the media budgets historically required for comparable market presence.</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Pollo Campero, a Guatemalan fast-food brand, offers instructive lessons in the challenges of maintaining brand authenticity while expanding into new markets. The brand’s strategic expansion into the United States required careful navigation of the tension between preserving the cultural distinctiveness that drives loyalty among Latin American consumers and adapting to the preferences of a broader and more heterogeneous American market. Harvard Business School’s case documentation highlights the dilemmas of segment targeting, menu localization, and operational standardization that the brand’s leadership faced. Pollo Campero’s relative success in this expansion reflects the importance of deep market research, leadership commitment to a coherent brand vision, and willingness to make difficult choices about which elements of brand identity are non-negotiable and which can be adapted.</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Heineken’s “Level Up Your Game” campaign in Brazil and Coca-Cola’s global “Share a Coke” campaign offer complementary examples of how established brands deploy digital tools to achieve scale and engagement. Heineken’s campaign targeted the Brazilian gaming community through gamification, influencer partnerships, and product innovation, demonstrating how deep audience understanding can be translated into culturally resonant creative executions. Coca-Cola’s personalization campaign—replacing the brand’s logo on bottles with popular first names—generated massive social media engagement and a seven percent increase in sales volume in Australia. Both campaigns exemplify the integration of digital storytelling, user-generated content, and cross-platform consistency that characterizes best-in-class digital brand strategy.</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Discussion</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The synthesis of academic literature, empirical research, and real-world case studies presented in this essay demonstrates that building a monetizable brand and sustainable business in the digital economy requires a holistic, multi-dimensional approach. Embedding brand orientation and strategic vision at the core of the organization, developing a distinct and adaptable brand identity, leveraging digital marketing channels and community engagement, implementing diversified monetization models, and prioritizing customer-centric operations are mutually reinforcing strategies that create a virtuous cycle of value creation, customer engagement, and financial performance. No single tactic or framework is sufficient; sustainable success requires the integration of these dimensions into a coherent, adaptive whole.</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Entrepreneurs face several significant challenges in executing these strategies. Resource constraints are particularly acute for SMEs and startups, which must achieve brand-building goals that historically required large marketing budgets using leaner, more creative approaches. The rapid evolution of digital platforms creates ongoing uncertainty: algorithms change, consumer attention shifts, and new platforms emerge with new creative formats and audience dynamics. Maintaining brand consistency and authenticity at scale is technically and organizationally demanding, particularly as brands expand into new markets, product categories, or cultural contexts. Measuring and demonstrating the financial impact of branding activities remains a persistent challenge, as the relationship between brand investment and business performance is typically mediated by numerous variables and unfolds over longer time horizons than quarterly financial reporting accommodates.</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For Latin American entrepreneurs specifically, the digital economy offers genuine pathways to building competitive brands with global reach, but requires navigating regional infrastructure gaps, regulatory complexity, and access to capital constraints. The cultural richness and authenticity of Latin American brands represent genuine competitive assets in markets where consumers increasingly value origin stories, artisanal quality, and cultural specificity. Brands that can leverage these assets while building the digital marketing infrastructure and operational discipline required for scale are well-positioned to succeed both regionally and internationally.</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Conclusion</w:t>
      </w:r>
    </w:p>
    <w:p>
      <w:pPr>
        <w:spacing w:line="480" w:before="0" w:after="0"/>
      </w:pPr>
    </w:p>
    <w:p>
      <w:pPr>
        <w:spacing w:line="480" w:before="0" w:after="0"/>
        <w:ind w:firstLine="720"/>
        <w:jc w:val="left"/>
      </w:pPr>
      <w:r>
        <w:rPr>
          <w:rFonts w:ascii="Times New Roman" w:cs="Times New Roman" w:eastAsia="Times New Roman" w:hAnsi="Times New Roman"/>
          <w:b w:val="false"/>
          <w:bCs w:val="false"/>
          <w:i w:val="false"/>
          <w:iCs w:val="false"/>
          <w:sz w:val="24"/>
          <w:szCs w:val="24"/>
        </w:rPr>
        <w:t xml:space="preserve">Building a monetizable brand and a sustainable business in today’s digital economy is a complex but achievable endeavor. Success depends on a clear strategic vision, robust brand identity, agile digital marketing, diversified monetization, customer-centric operations, legal and ethical compliance, and a commitment to sustainability. By synthesizing academic theories, empirical research, and real-world case studies, this essay provides a comprehensive roadmap for entrepreneurs seeking to navigate the challenges and opportunities of the digital age. The foundational insight that emerges from this analysis is that sustainable brands are not built through any single channel, campaign, or monetization tactic but through the deliberate and consistent alignment of strategy, identity, community, and operations over time. As technology and consumer expectations continue to evolve, ongoing learning, adaptation, and genuine engagement with community will remain the essential foundations of enduring brand and business success.</w:t>
      </w:r>
    </w:p>
    <w:p>
      <w:pPr>
        <w:spacing w:line="480" w:before="0" w:after="0"/>
      </w:pPr>
    </w:p>
    <w:p>
      <w:pPr>
        <w:spacing w:line="480" w:before="0" w:after="0"/>
        <w:ind/>
        <w:jc w:val="center"/>
      </w:pPr>
      <w:r>
        <w:rPr>
          <w:rFonts w:ascii="Times New Roman" w:cs="Times New Roman" w:eastAsia="Times New Roman" w:hAnsi="Times New Roman"/>
          <w:b/>
          <w:bCs/>
          <w:i w:val="false"/>
          <w:iCs w:val="false"/>
          <w:sz w:val="24"/>
          <w:szCs w:val="24"/>
        </w:rPr>
        <w:t xml:space="preserve">Works Cited</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Ascarza, Eva, et al. “In Pursuit of Enhanced Customer Retention Management: Review, Key Issues, and Future Directions.” </w:t>
      </w:r>
      <w:r>
        <w:rPr>
          <w:rFonts w:ascii="Times New Roman" w:cs="Times New Roman" w:eastAsia="Times New Roman" w:hAnsi="Times New Roman"/>
          <w:b w:val="false"/>
          <w:bCs w:val="false"/>
          <w:i/>
          <w:iCs/>
          <w:sz w:val="24"/>
          <w:szCs w:val="24"/>
        </w:rPr>
        <w:t xml:space="preserve">Customer Needs and Solutions</w:t>
      </w:r>
      <w:r>
        <w:rPr>
          <w:rFonts w:ascii="Times New Roman" w:cs="Times New Roman" w:eastAsia="Times New Roman" w:hAnsi="Times New Roman"/>
          <w:b w:val="false"/>
          <w:bCs w:val="false"/>
          <w:i w:val="false"/>
          <w:iCs w:val="false"/>
          <w:sz w:val="24"/>
          <w:szCs w:val="24"/>
        </w:rPr>
        <w:t xml:space="preserve">, vol. 5, no. 1–2, 2018, pp. 65–81. Springer, </w:t>
      </w:r>
      <w:hyperlink w:history="1" r:id="rId_y43bpw0zwpovlj1niil0">
        <w:r>
          <w:rPr>
            <w:rFonts w:ascii="Times New Roman" w:cs="Times New Roman" w:eastAsia="Times New Roman" w:hAnsi="Times New Roman"/>
            <w:color w:val="0563C1"/>
            <w:sz w:val="24"/>
            <w:szCs w:val="24"/>
            <w:u w:val="single"/>
          </w:rPr>
          <w:t xml:space="preserve">https://doi.org/10.1007/s40547-017-0080-0</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El Sanyoura, Hana, and Craig A. Anderson. “Quantifying the Creator Economy: A Patreon Analysis.” </w:t>
      </w:r>
      <w:r>
        <w:rPr>
          <w:rFonts w:ascii="Times New Roman" w:cs="Times New Roman" w:eastAsia="Times New Roman" w:hAnsi="Times New Roman"/>
          <w:b w:val="false"/>
          <w:bCs w:val="false"/>
          <w:i/>
          <w:iCs/>
          <w:sz w:val="24"/>
          <w:szCs w:val="24"/>
        </w:rPr>
        <w:t xml:space="preserve">Social Media + Society</w:t>
      </w:r>
      <w:r>
        <w:rPr>
          <w:rFonts w:ascii="Times New Roman" w:cs="Times New Roman" w:eastAsia="Times New Roman" w:hAnsi="Times New Roman"/>
          <w:b w:val="false"/>
          <w:bCs w:val="false"/>
          <w:i w:val="false"/>
          <w:iCs w:val="false"/>
          <w:sz w:val="24"/>
          <w:szCs w:val="24"/>
        </w:rPr>
        <w:t xml:space="preserve">, 2022. ResearchGate, </w:t>
      </w:r>
      <w:hyperlink w:history="1" r:id="rIdx7jf03ufrjkud4l1hw845">
        <w:r>
          <w:rPr>
            <w:rFonts w:ascii="Times New Roman" w:cs="Times New Roman" w:eastAsia="Times New Roman" w:hAnsi="Times New Roman"/>
            <w:color w:val="0563C1"/>
            <w:sz w:val="24"/>
            <w:szCs w:val="24"/>
            <w:u w:val="single"/>
          </w:rPr>
          <w:t xml:space="preserve">https://www.researchgate.net</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Goodwin, Paul, et al. “Business Forecasting Methods.” </w:t>
      </w:r>
      <w:r>
        <w:rPr>
          <w:rFonts w:ascii="Times New Roman" w:cs="Times New Roman" w:eastAsia="Times New Roman" w:hAnsi="Times New Roman"/>
          <w:b w:val="false"/>
          <w:bCs w:val="false"/>
          <w:i/>
          <w:iCs/>
          <w:sz w:val="24"/>
          <w:szCs w:val="24"/>
        </w:rPr>
        <w:t xml:space="preserve">PLOS One</w:t>
      </w:r>
      <w:r>
        <w:rPr>
          <w:rFonts w:ascii="Times New Roman" w:cs="Times New Roman" w:eastAsia="Times New Roman" w:hAnsi="Times New Roman"/>
          <w:b w:val="false"/>
          <w:bCs w:val="false"/>
          <w:i w:val="false"/>
          <w:iCs w:val="false"/>
          <w:sz w:val="24"/>
          <w:szCs w:val="24"/>
        </w:rPr>
        <w:t xml:space="preserve">, 2023. </w:t>
      </w:r>
      <w:hyperlink w:history="1" r:id="rIdjesjmyorgvecvgyxmv9e6">
        <w:r>
          <w:rPr>
            <w:rFonts w:ascii="Times New Roman" w:cs="Times New Roman" w:eastAsia="Times New Roman" w:hAnsi="Times New Roman"/>
            <w:color w:val="0563C1"/>
            <w:sz w:val="24"/>
            <w:szCs w:val="24"/>
            <w:u w:val="single"/>
          </w:rPr>
          <w:t xml:space="preserve">https://journals.plos.org/plosone/</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Hödl, Tatjana, and Thomas Myrach. “Content Creators Between Platform Control and User Autonomy: The Role of Algorithms and Revenue Sharing.” </w:t>
      </w:r>
      <w:r>
        <w:rPr>
          <w:rFonts w:ascii="Times New Roman" w:cs="Times New Roman" w:eastAsia="Times New Roman" w:hAnsi="Times New Roman"/>
          <w:b w:val="false"/>
          <w:bCs w:val="false"/>
          <w:i/>
          <w:iCs/>
          <w:sz w:val="24"/>
          <w:szCs w:val="24"/>
        </w:rPr>
        <w:t xml:space="preserve">Business &amp; Information Systems Engineering</w:t>
      </w:r>
      <w:r>
        <w:rPr>
          <w:rFonts w:ascii="Times New Roman" w:cs="Times New Roman" w:eastAsia="Times New Roman" w:hAnsi="Times New Roman"/>
          <w:b w:val="false"/>
          <w:bCs w:val="false"/>
          <w:i w:val="false"/>
          <w:iCs w:val="false"/>
          <w:sz w:val="24"/>
          <w:szCs w:val="24"/>
        </w:rPr>
        <w:t xml:space="preserve">, vol. 65, no. 5, 2023, pp. 497–519. Springer, </w:t>
      </w:r>
      <w:hyperlink w:history="1" r:id="rIdnf6bf1k8a5oq217dzr0ha">
        <w:r>
          <w:rPr>
            <w:rFonts w:ascii="Times New Roman" w:cs="Times New Roman" w:eastAsia="Times New Roman" w:hAnsi="Times New Roman"/>
            <w:color w:val="0563C1"/>
            <w:sz w:val="24"/>
            <w:szCs w:val="24"/>
            <w:u w:val="single"/>
          </w:rPr>
          <w:t xml:space="preserve">https://doi.org/10.1007/s12599-023-00808-9</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IEEE. “NFT Survey.” </w:t>
      </w:r>
      <w:r>
        <w:rPr>
          <w:rFonts w:ascii="Times New Roman" w:cs="Times New Roman" w:eastAsia="Times New Roman" w:hAnsi="Times New Roman"/>
          <w:b w:val="false"/>
          <w:bCs w:val="false"/>
          <w:i/>
          <w:iCs/>
          <w:sz w:val="24"/>
          <w:szCs w:val="24"/>
        </w:rPr>
        <w:t xml:space="preserve">IEEE Xplore</w:t>
      </w:r>
      <w:r>
        <w:rPr>
          <w:rFonts w:ascii="Times New Roman" w:cs="Times New Roman" w:eastAsia="Times New Roman" w:hAnsi="Times New Roman"/>
          <w:b w:val="false"/>
          <w:bCs w:val="false"/>
          <w:i w:val="false"/>
          <w:iCs w:val="false"/>
          <w:sz w:val="24"/>
          <w:szCs w:val="24"/>
        </w:rPr>
        <w:t xml:space="preserve">, 2023. </w:t>
      </w:r>
      <w:hyperlink w:history="1" r:id="rIdov5jcxjam8svma9oryvuv">
        <w:r>
          <w:rPr>
            <w:rFonts w:ascii="Times New Roman" w:cs="Times New Roman" w:eastAsia="Times New Roman" w:hAnsi="Times New Roman"/>
            <w:color w:val="0563C1"/>
            <w:sz w:val="24"/>
            <w:szCs w:val="24"/>
            <w:u w:val="single"/>
          </w:rPr>
          <w:t xml:space="preserve">https://ieeexplore.ieee.org</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Kumar, V., and Werner Reinartz. “Customer Lifetime Value: A Literature Synthesis.” </w:t>
      </w:r>
      <w:r>
        <w:rPr>
          <w:rFonts w:ascii="Times New Roman" w:cs="Times New Roman" w:eastAsia="Times New Roman" w:hAnsi="Times New Roman"/>
          <w:b w:val="false"/>
          <w:bCs w:val="false"/>
          <w:i/>
          <w:iCs/>
          <w:sz w:val="24"/>
          <w:szCs w:val="24"/>
        </w:rPr>
        <w:t xml:space="preserve">Journal of the Academy of Marketing Science</w:t>
      </w:r>
      <w:r>
        <w:rPr>
          <w:rFonts w:ascii="Times New Roman" w:cs="Times New Roman" w:eastAsia="Times New Roman" w:hAnsi="Times New Roman"/>
          <w:b w:val="false"/>
          <w:bCs w:val="false"/>
          <w:i w:val="false"/>
          <w:iCs w:val="false"/>
          <w:sz w:val="24"/>
          <w:szCs w:val="24"/>
        </w:rPr>
        <w:t xml:space="preserve">, 2016. Taylor &amp; Francis, </w:t>
      </w:r>
      <w:hyperlink w:history="1" r:id="rIdv-ow7upihue6xc2dmsy76">
        <w:r>
          <w:rPr>
            <w:rFonts w:ascii="Times New Roman" w:cs="Times New Roman" w:eastAsia="Times New Roman" w:hAnsi="Times New Roman"/>
            <w:color w:val="0563C1"/>
            <w:sz w:val="24"/>
            <w:szCs w:val="24"/>
            <w:u w:val="single"/>
          </w:rPr>
          <w:t xml:space="preserve">https://www.tandfonline.com</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Lee, Kyungmook, and Jangwoo Kim. “When Do Startups Scale? Strategic Management Journal.” </w:t>
      </w:r>
      <w:r>
        <w:rPr>
          <w:rFonts w:ascii="Times New Roman" w:cs="Times New Roman" w:eastAsia="Times New Roman" w:hAnsi="Times New Roman"/>
          <w:b w:val="false"/>
          <w:bCs w:val="false"/>
          <w:i/>
          <w:iCs/>
          <w:sz w:val="24"/>
          <w:szCs w:val="24"/>
        </w:rPr>
        <w:t xml:space="preserve">Strategic Management Journal</w:t>
      </w:r>
      <w:r>
        <w:rPr>
          <w:rFonts w:ascii="Times New Roman" w:cs="Times New Roman" w:eastAsia="Times New Roman" w:hAnsi="Times New Roman"/>
          <w:b w:val="false"/>
          <w:bCs w:val="false"/>
          <w:i w:val="false"/>
          <w:iCs w:val="false"/>
          <w:sz w:val="24"/>
          <w:szCs w:val="24"/>
        </w:rPr>
        <w:t xml:space="preserve">, 2016. Wiley, </w:t>
      </w:r>
      <w:hyperlink w:history="1" r:id="rIdlfrk7tnddeqa6lswybclw">
        <w:r>
          <w:rPr>
            <w:rFonts w:ascii="Times New Roman" w:cs="Times New Roman" w:eastAsia="Times New Roman" w:hAnsi="Times New Roman"/>
            <w:color w:val="0563C1"/>
            <w:sz w:val="24"/>
            <w:szCs w:val="24"/>
            <w:u w:val="single"/>
          </w:rPr>
          <w:t xml:space="preserve">https://onlinelibrary.wiley.com/journal/10970266</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Libai, Barak, et al. “Influencer Marketing Unlocked: Understanding the Value Chains Driving the Creator Economy.” </w:t>
      </w:r>
      <w:r>
        <w:rPr>
          <w:rFonts w:ascii="Times New Roman" w:cs="Times New Roman" w:eastAsia="Times New Roman" w:hAnsi="Times New Roman"/>
          <w:b w:val="false"/>
          <w:bCs w:val="false"/>
          <w:i/>
          <w:iCs/>
          <w:sz w:val="24"/>
          <w:szCs w:val="24"/>
        </w:rPr>
        <w:t xml:space="preserve">Journal of the Academy of Marketing Science</w:t>
      </w:r>
      <w:r>
        <w:rPr>
          <w:rFonts w:ascii="Times New Roman" w:cs="Times New Roman" w:eastAsia="Times New Roman" w:hAnsi="Times New Roman"/>
          <w:b w:val="false"/>
          <w:bCs w:val="false"/>
          <w:i w:val="false"/>
          <w:iCs w:val="false"/>
          <w:sz w:val="24"/>
          <w:szCs w:val="24"/>
        </w:rPr>
        <w:t xml:space="preserve">, vol. 53, no. 1, 2025, pp. 4–28. Springer, </w:t>
      </w:r>
      <w:hyperlink w:history="1" r:id="rId672dpxtlqd4few9nhlolk">
        <w:r>
          <w:rPr>
            <w:rFonts w:ascii="Times New Roman" w:cs="Times New Roman" w:eastAsia="Times New Roman" w:hAnsi="Times New Roman"/>
            <w:color w:val="0563C1"/>
            <w:sz w:val="24"/>
            <w:szCs w:val="24"/>
            <w:u w:val="single"/>
          </w:rPr>
          <w:t xml:space="preserve">https://doi.org/10.1007/s11747-024-01073-2</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Liu, Shuling, and Yiqi Zhao. “Meta-Analysis of Sponsorship Disclosure in Influencer Marketing.” </w:t>
      </w:r>
      <w:r>
        <w:rPr>
          <w:rFonts w:ascii="Times New Roman" w:cs="Times New Roman" w:eastAsia="Times New Roman" w:hAnsi="Times New Roman"/>
          <w:b w:val="false"/>
          <w:bCs w:val="false"/>
          <w:i/>
          <w:iCs/>
          <w:sz w:val="24"/>
          <w:szCs w:val="24"/>
        </w:rPr>
        <w:t xml:space="preserve">Journal of Marketing Communications</w:t>
      </w:r>
      <w:r>
        <w:rPr>
          <w:rFonts w:ascii="Times New Roman" w:cs="Times New Roman" w:eastAsia="Times New Roman" w:hAnsi="Times New Roman"/>
          <w:b w:val="false"/>
          <w:bCs w:val="false"/>
          <w:i w:val="false"/>
          <w:iCs w:val="false"/>
          <w:sz w:val="24"/>
          <w:szCs w:val="24"/>
        </w:rPr>
        <w:t xml:space="preserve">, 2023. Taylor &amp; Francis, </w:t>
      </w:r>
      <w:hyperlink w:history="1" r:id="rId5_j1nx08rlxvikcjubnn-">
        <w:r>
          <w:rPr>
            <w:rFonts w:ascii="Times New Roman" w:cs="Times New Roman" w:eastAsia="Times New Roman" w:hAnsi="Times New Roman"/>
            <w:color w:val="0563C1"/>
            <w:sz w:val="24"/>
            <w:szCs w:val="24"/>
            <w:u w:val="single"/>
          </w:rPr>
          <w:t xml:space="preserve">https://www.tandfonline.com/journals/rjmc20</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MDPI. “NFT Systematic Review: Tokenized Communities.” </w:t>
      </w:r>
      <w:r>
        <w:rPr>
          <w:rFonts w:ascii="Times New Roman" w:cs="Times New Roman" w:eastAsia="Times New Roman" w:hAnsi="Times New Roman"/>
          <w:b w:val="false"/>
          <w:bCs w:val="false"/>
          <w:i/>
          <w:iCs/>
          <w:sz w:val="24"/>
          <w:szCs w:val="24"/>
        </w:rPr>
        <w:t xml:space="preserve">MDPI</w:t>
      </w:r>
      <w:r>
        <w:rPr>
          <w:rFonts w:ascii="Times New Roman" w:cs="Times New Roman" w:eastAsia="Times New Roman" w:hAnsi="Times New Roman"/>
          <w:b w:val="false"/>
          <w:bCs w:val="false"/>
          <w:i w:val="false"/>
          <w:iCs w:val="false"/>
          <w:sz w:val="24"/>
          <w:szCs w:val="24"/>
        </w:rPr>
        <w:t xml:space="preserve">, 2023. </w:t>
      </w:r>
      <w:hyperlink w:history="1" r:id="rId-xtmfpnnt69v9iciqiams">
        <w:r>
          <w:rPr>
            <w:rFonts w:ascii="Times New Roman" w:cs="Times New Roman" w:eastAsia="Times New Roman" w:hAnsi="Times New Roman"/>
            <w:color w:val="0563C1"/>
            <w:sz w:val="24"/>
            <w:szCs w:val="24"/>
            <w:u w:val="single"/>
          </w:rPr>
          <w:t xml:space="preserve">https://www.mdpi.com</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Osterwalder, Alexander, and Yves Pigneur. </w:t>
      </w:r>
      <w:r>
        <w:rPr>
          <w:rFonts w:ascii="Times New Roman" w:cs="Times New Roman" w:eastAsia="Times New Roman" w:hAnsi="Times New Roman"/>
          <w:b w:val="false"/>
          <w:bCs w:val="false"/>
          <w:i/>
          <w:iCs/>
          <w:sz w:val="24"/>
          <w:szCs w:val="24"/>
        </w:rPr>
        <w:t xml:space="preserve">Business Model Generation</w:t>
      </w:r>
      <w:r>
        <w:rPr>
          <w:rFonts w:ascii="Times New Roman" w:cs="Times New Roman" w:eastAsia="Times New Roman" w:hAnsi="Times New Roman"/>
          <w:b w:val="false"/>
          <w:bCs w:val="false"/>
          <w:i w:val="false"/>
          <w:iCs w:val="false"/>
          <w:sz w:val="24"/>
          <w:szCs w:val="24"/>
        </w:rPr>
        <w:t xml:space="preserve">. Wiley, 2010. Oxford Academic, </w:t>
      </w:r>
      <w:hyperlink w:history="1" r:id="rIdwbkck9hgxraxriyxt7v4c">
        <w:r>
          <w:rPr>
            <w:rFonts w:ascii="Times New Roman" w:cs="Times New Roman" w:eastAsia="Times New Roman" w:hAnsi="Times New Roman"/>
            <w:color w:val="0563C1"/>
            <w:sz w:val="24"/>
            <w:szCs w:val="24"/>
            <w:u w:val="single"/>
          </w:rPr>
          <w:t xml:space="preserve">https://academic.oup.com</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Regner, Tobias. “Crowdfunding a Monthly Income: A Patreon Analysis.” </w:t>
      </w:r>
      <w:r>
        <w:rPr>
          <w:rFonts w:ascii="Times New Roman" w:cs="Times New Roman" w:eastAsia="Times New Roman" w:hAnsi="Times New Roman"/>
          <w:b w:val="false"/>
          <w:bCs w:val="false"/>
          <w:i/>
          <w:iCs/>
          <w:sz w:val="24"/>
          <w:szCs w:val="24"/>
        </w:rPr>
        <w:t xml:space="preserve">Journal of Cultural Economics</w:t>
      </w:r>
      <w:r>
        <w:rPr>
          <w:rFonts w:ascii="Times New Roman" w:cs="Times New Roman" w:eastAsia="Times New Roman" w:hAnsi="Times New Roman"/>
          <w:b w:val="false"/>
          <w:bCs w:val="false"/>
          <w:i w:val="false"/>
          <w:iCs w:val="false"/>
          <w:sz w:val="24"/>
          <w:szCs w:val="24"/>
        </w:rPr>
        <w:t xml:space="preserve">, 2021. Springer, </w:t>
      </w:r>
      <w:hyperlink w:history="1" r:id="rId6e8rgvhzqmau1diencntx">
        <w:r>
          <w:rPr>
            <w:rFonts w:ascii="Times New Roman" w:cs="Times New Roman" w:eastAsia="Times New Roman" w:hAnsi="Times New Roman"/>
            <w:color w:val="0563C1"/>
            <w:sz w:val="24"/>
            <w:szCs w:val="24"/>
            <w:u w:val="single"/>
          </w:rPr>
          <w:t xml:space="preserve">https://link.springer.com/journal/10824</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Rieder, Bernhard, et al. “Making a Living in the Creator Economy: A Large-Scale Study of Linking on YouTube.” </w:t>
      </w:r>
      <w:r>
        <w:rPr>
          <w:rFonts w:ascii="Times New Roman" w:cs="Times New Roman" w:eastAsia="Times New Roman" w:hAnsi="Times New Roman"/>
          <w:b w:val="false"/>
          <w:bCs w:val="false"/>
          <w:i/>
          <w:iCs/>
          <w:sz w:val="24"/>
          <w:szCs w:val="24"/>
        </w:rPr>
        <w:t xml:space="preserve">Social Media + Society</w:t>
      </w:r>
      <w:r>
        <w:rPr>
          <w:rFonts w:ascii="Times New Roman" w:cs="Times New Roman" w:eastAsia="Times New Roman" w:hAnsi="Times New Roman"/>
          <w:b w:val="false"/>
          <w:bCs w:val="false"/>
          <w:i w:val="false"/>
          <w:iCs w:val="false"/>
          <w:sz w:val="24"/>
          <w:szCs w:val="24"/>
        </w:rPr>
        <w:t xml:space="preserve">, vol. 9, no. 2, 2023, pp. 1–20. SAGE, </w:t>
      </w:r>
      <w:hyperlink w:history="1" r:id="rIdhkbhyjstyrfv_rna6nj6f">
        <w:r>
          <w:rPr>
            <w:rFonts w:ascii="Times New Roman" w:cs="Times New Roman" w:eastAsia="Times New Roman" w:hAnsi="Times New Roman"/>
            <w:color w:val="0563C1"/>
            <w:sz w:val="24"/>
            <w:szCs w:val="24"/>
            <w:u w:val="single"/>
          </w:rPr>
          <w:t xml:space="preserve">https://doi.org/10.1177/20563051231180628</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Samoilenko, Sergei. “Monetization of a Personal Brand.” </w:t>
      </w:r>
      <w:r>
        <w:rPr>
          <w:rFonts w:ascii="Times New Roman" w:cs="Times New Roman" w:eastAsia="Times New Roman" w:hAnsi="Times New Roman"/>
          <w:b w:val="false"/>
          <w:bCs w:val="false"/>
          <w:i/>
          <w:iCs/>
          <w:sz w:val="24"/>
          <w:szCs w:val="24"/>
        </w:rPr>
        <w:t xml:space="preserve">Journal of Brand Management</w:t>
      </w:r>
      <w:r>
        <w:rPr>
          <w:rFonts w:ascii="Times New Roman" w:cs="Times New Roman" w:eastAsia="Times New Roman" w:hAnsi="Times New Roman"/>
          <w:b w:val="false"/>
          <w:bCs w:val="false"/>
          <w:i w:val="false"/>
          <w:iCs w:val="false"/>
          <w:sz w:val="24"/>
          <w:szCs w:val="24"/>
        </w:rPr>
        <w:t xml:space="preserve">, 2022. Springer, </w:t>
      </w:r>
      <w:hyperlink w:history="1" r:id="rIdg9duzfmawhmeyljdvdwvo">
        <w:r>
          <w:rPr>
            <w:rFonts w:ascii="Times New Roman" w:cs="Times New Roman" w:eastAsia="Times New Roman" w:hAnsi="Times New Roman"/>
            <w:color w:val="0563C1"/>
            <w:sz w:val="24"/>
            <w:szCs w:val="24"/>
            <w:u w:val="single"/>
          </w:rPr>
          <w:t xml:space="preserve">https://link.springer.com/journal/41262</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Sharma, Agarwal. “Evaluating the Success of Subscription-Based Business Models.” </w:t>
      </w:r>
      <w:r>
        <w:rPr>
          <w:rFonts w:ascii="Times New Roman" w:cs="Times New Roman" w:eastAsia="Times New Roman" w:hAnsi="Times New Roman"/>
          <w:b w:val="false"/>
          <w:bCs w:val="false"/>
          <w:i/>
          <w:iCs/>
          <w:sz w:val="24"/>
          <w:szCs w:val="24"/>
        </w:rPr>
        <w:t xml:space="preserve">Journal of Business Research</w:t>
      </w:r>
      <w:r>
        <w:rPr>
          <w:rFonts w:ascii="Times New Roman" w:cs="Times New Roman" w:eastAsia="Times New Roman" w:hAnsi="Times New Roman"/>
          <w:b w:val="false"/>
          <w:bCs w:val="false"/>
          <w:i w:val="false"/>
          <w:iCs w:val="false"/>
          <w:sz w:val="24"/>
          <w:szCs w:val="24"/>
        </w:rPr>
        <w:t xml:space="preserve">, 2022. Elsevier, </w:t>
      </w:r>
      <w:hyperlink w:history="1" r:id="rIdzy6m--fcerespxu0-bilh">
        <w:r>
          <w:rPr>
            <w:rFonts w:ascii="Times New Roman" w:cs="Times New Roman" w:eastAsia="Times New Roman" w:hAnsi="Times New Roman"/>
            <w:color w:val="0563C1"/>
            <w:sz w:val="24"/>
            <w:szCs w:val="24"/>
            <w:u w:val="single"/>
          </w:rPr>
          <w:t xml:space="preserve">https://www.sciencedirect.com/journal/journal-of-business-research</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Shopify. “Shopify Case Studies and Platform Strategy.” </w:t>
      </w:r>
      <w:r>
        <w:rPr>
          <w:rFonts w:ascii="Times New Roman" w:cs="Times New Roman" w:eastAsia="Times New Roman" w:hAnsi="Times New Roman"/>
          <w:b w:val="false"/>
          <w:bCs w:val="false"/>
          <w:i/>
          <w:iCs/>
          <w:sz w:val="24"/>
          <w:szCs w:val="24"/>
        </w:rPr>
        <w:t xml:space="preserve">Shopify</w:t>
      </w:r>
      <w:r>
        <w:rPr>
          <w:rFonts w:ascii="Times New Roman" w:cs="Times New Roman" w:eastAsia="Times New Roman" w:hAnsi="Times New Roman"/>
          <w:b w:val="false"/>
          <w:bCs w:val="false"/>
          <w:i w:val="false"/>
          <w:iCs w:val="false"/>
          <w:sz w:val="24"/>
          <w:szCs w:val="24"/>
        </w:rPr>
        <w:t xml:space="preserve">, 2024. </w:t>
      </w:r>
      <w:hyperlink w:history="1" r:id="rId_vpg1ufwfmdbk_6yyrmdf">
        <w:r>
          <w:rPr>
            <w:rFonts w:ascii="Times New Roman" w:cs="Times New Roman" w:eastAsia="Times New Roman" w:hAnsi="Times New Roman"/>
            <w:color w:val="0563C1"/>
            <w:sz w:val="24"/>
            <w:szCs w:val="24"/>
            <w:u w:val="single"/>
          </w:rPr>
          <w:t xml:space="preserve">https://www.shopify.com/blog/topics/case-studies</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United States Small Business Administration. “Choose a Business Structure.” </w:t>
      </w:r>
      <w:r>
        <w:rPr>
          <w:rFonts w:ascii="Times New Roman" w:cs="Times New Roman" w:eastAsia="Times New Roman" w:hAnsi="Times New Roman"/>
          <w:b w:val="false"/>
          <w:bCs w:val="false"/>
          <w:i/>
          <w:iCs/>
          <w:sz w:val="24"/>
          <w:szCs w:val="24"/>
        </w:rPr>
        <w:t xml:space="preserve">SBA.gov</w:t>
      </w:r>
      <w:r>
        <w:rPr>
          <w:rFonts w:ascii="Times New Roman" w:cs="Times New Roman" w:eastAsia="Times New Roman" w:hAnsi="Times New Roman"/>
          <w:b w:val="false"/>
          <w:bCs w:val="false"/>
          <w:i w:val="false"/>
          <w:iCs w:val="false"/>
          <w:sz w:val="24"/>
          <w:szCs w:val="24"/>
        </w:rPr>
        <w:t xml:space="preserve">, 2024. </w:t>
      </w:r>
      <w:hyperlink w:history="1" r:id="rIdswe_lmfrbfykkcntoxqm4">
        <w:r>
          <w:rPr>
            <w:rFonts w:ascii="Times New Roman" w:cs="Times New Roman" w:eastAsia="Times New Roman" w:hAnsi="Times New Roman"/>
            <w:color w:val="0563C1"/>
            <w:sz w:val="24"/>
            <w:szCs w:val="24"/>
            <w:u w:val="single"/>
          </w:rPr>
          <w:t xml:space="preserve">https://www.sba.gov/business-guide/launch-your-business/choose-business-structure</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Weland, Christoffer, et al. “Subscription-Based Business Models in the Context of Tech Firms: Theory and Applications.” </w:t>
      </w:r>
      <w:r>
        <w:rPr>
          <w:rFonts w:ascii="Times New Roman" w:cs="Times New Roman" w:eastAsia="Times New Roman" w:hAnsi="Times New Roman"/>
          <w:b w:val="false"/>
          <w:bCs w:val="false"/>
          <w:i/>
          <w:iCs/>
          <w:sz w:val="24"/>
          <w:szCs w:val="24"/>
        </w:rPr>
        <w:t xml:space="preserve">International Journal of Industrial Engineering and Operations Management</w:t>
      </w:r>
      <w:r>
        <w:rPr>
          <w:rFonts w:ascii="Times New Roman" w:cs="Times New Roman" w:eastAsia="Times New Roman" w:hAnsi="Times New Roman"/>
          <w:b w:val="false"/>
          <w:bCs w:val="false"/>
          <w:i w:val="false"/>
          <w:iCs w:val="false"/>
          <w:sz w:val="24"/>
          <w:szCs w:val="24"/>
        </w:rPr>
        <w:t xml:space="preserve">, vol. 6, no. 3, 2024, pp. 256–274. Emerald, </w:t>
      </w:r>
      <w:hyperlink w:history="1" r:id="rId03nd5z4pua1pp9sndtczk">
        <w:r>
          <w:rPr>
            <w:rFonts w:ascii="Times New Roman" w:cs="Times New Roman" w:eastAsia="Times New Roman" w:hAnsi="Times New Roman"/>
            <w:color w:val="0563C1"/>
            <w:sz w:val="24"/>
            <w:szCs w:val="24"/>
            <w:u w:val="single"/>
          </w:rPr>
          <w:t xml:space="preserve">https://doi.org/10.1108/IJIEOM-06-2023-0054</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“Brand Value Co-Creation Revisited.” </w:t>
      </w:r>
      <w:r>
        <w:rPr>
          <w:rFonts w:ascii="Times New Roman" w:cs="Times New Roman" w:eastAsia="Times New Roman" w:hAnsi="Times New Roman"/>
          <w:b w:val="false"/>
          <w:bCs w:val="false"/>
          <w:i/>
          <w:iCs/>
          <w:sz w:val="24"/>
          <w:szCs w:val="24"/>
        </w:rPr>
        <w:t xml:space="preserve">ResearchGate</w:t>
      </w:r>
      <w:r>
        <w:rPr>
          <w:rFonts w:ascii="Times New Roman" w:cs="Times New Roman" w:eastAsia="Times New Roman" w:hAnsi="Times New Roman"/>
          <w:b w:val="false"/>
          <w:bCs w:val="false"/>
          <w:i w:val="false"/>
          <w:iCs w:val="false"/>
          <w:sz w:val="24"/>
          <w:szCs w:val="24"/>
        </w:rPr>
        <w:t xml:space="preserve">, 2023. </w:t>
      </w:r>
      <w:hyperlink w:history="1" r:id="rId7p5egr6co6v1xaury0yzq">
        <w:r>
          <w:rPr>
            <w:rFonts w:ascii="Times New Roman" w:cs="Times New Roman" w:eastAsia="Times New Roman" w:hAnsi="Times New Roman"/>
            <w:color w:val="0563C1"/>
            <w:sz w:val="24"/>
            <w:szCs w:val="24"/>
            <w:u w:val="single"/>
          </w:rPr>
          <w:t xml:space="preserve">https://www.researchgate.net</w:t>
        </w:r>
      </w:hyperlink>
      <w:r>
        <w:rPr>
          <w:rFonts w:ascii="Times New Roman" w:cs="Times New Roman" w:eastAsia="Times New Roman" w:hAnsi="Times New Roman"/>
          <w:b w:val="false"/>
          <w:bCs w:val="false"/>
          <w:i w:val="false"/>
          <w:iCs w:val="false"/>
          <w:sz w:val="24"/>
          <w:szCs w:val="24"/>
        </w:rPr>
        <w:t xml:space="preserve">.</w:t>
      </w:r>
    </w:p>
    <w:p>
      <w:pPr>
        <w:spacing w:line="480" w:before="0" w:after="0"/>
      </w:pPr>
    </w:p>
    <w:p>
      <w:pPr>
        <w:spacing w:line="480" w:before="0" w:after="0"/>
        <w:ind w:left="720" w:hanging="720"/>
        <w:jc w:val="left"/>
      </w:pPr>
      <w:r>
        <w:rPr>
          <w:rFonts w:ascii="Times New Roman" w:cs="Times New Roman" w:eastAsia="Times New Roman" w:hAnsi="Times New Roman"/>
          <w:b w:val="false"/>
          <w:bCs w:val="false"/>
          <w:i w:val="false"/>
          <w:iCs w:val="false"/>
          <w:sz w:val="24"/>
          <w:szCs w:val="24"/>
        </w:rPr>
        <w:t xml:space="preserve">“The Creator Economy: An Introduction and a Call for Scholarly Research.” </w:t>
      </w:r>
      <w:r>
        <w:rPr>
          <w:rFonts w:ascii="Times New Roman" w:cs="Times New Roman" w:eastAsia="Times New Roman" w:hAnsi="Times New Roman"/>
          <w:b w:val="false"/>
          <w:bCs w:val="false"/>
          <w:i/>
          <w:iCs/>
          <w:sz w:val="24"/>
          <w:szCs w:val="24"/>
        </w:rPr>
        <w:t xml:space="preserve">Journal of Marketing</w:t>
      </w:r>
      <w:r>
        <w:rPr>
          <w:rFonts w:ascii="Times New Roman" w:cs="Times New Roman" w:eastAsia="Times New Roman" w:hAnsi="Times New Roman"/>
          <w:b w:val="false"/>
          <w:bCs w:val="false"/>
          <w:i w:val="false"/>
          <w:iCs w:val="false"/>
          <w:sz w:val="24"/>
          <w:szCs w:val="24"/>
        </w:rPr>
        <w:t xml:space="preserve">, 2022. AMA, </w:t>
      </w:r>
      <w:hyperlink w:history="1" r:id="rIdd8jdja_qjq1vuxiywizzs">
        <w:r>
          <w:rPr>
            <w:rFonts w:ascii="Times New Roman" w:cs="Times New Roman" w:eastAsia="Times New Roman" w:hAnsi="Times New Roman"/>
            <w:color w:val="0563C1"/>
            <w:sz w:val="24"/>
            <w:szCs w:val="24"/>
            <w:u w:val="single"/>
          </w:rPr>
          <w:t xml:space="preserve">https://journals.sagepub.com/home/jmx</w:t>
        </w:r>
      </w:hyperlink>
      <w:r>
        <w:rPr>
          <w:rFonts w:ascii="Times New Roman" w:cs="Times New Roman" w:eastAsia="Times New Roman" w:hAnsi="Times New Roman"/>
          <w:b w:val="false"/>
          <w:bCs w:val="false"/>
          <w:i w:val="false"/>
          <w:iCs w:val="false"/>
          <w:sz w:val="24"/>
          <w:szCs w:val="24"/>
        </w:rPr>
        <w:t xml:space="preserv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480"/>
      <w:jc w:val="right"/>
    </w:pPr>
    <w:r>
      <w:rPr>
        <w:rFonts w:ascii="Times New Roman" w:cs="Times New Roman" w:eastAsia="Times New Roman" w:hAnsi="Times New Roman"/>
        <w:b w:val="false"/>
        <w:bCs w:val="false"/>
        <w:i w:val="false"/>
        <w:iCs w:val="false"/>
        <w:sz w:val="24"/>
        <w:szCs w:val="24"/>
      </w:rPr>
      <w:t xml:space="preserve">Quintanilla Cruz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y43bpw0zwpovlj1niil0" Type="http://schemas.openxmlformats.org/officeDocument/2006/relationships/hyperlink" Target="https://doi.org/10.1007/s40547-017-0080-0" TargetMode="External"/><Relationship Id="rIdx7jf03ufrjkud4l1hw845" Type="http://schemas.openxmlformats.org/officeDocument/2006/relationships/hyperlink" Target="https://www.researchgate.net" TargetMode="External"/><Relationship Id="rIdjesjmyorgvecvgyxmv9e6" Type="http://schemas.openxmlformats.org/officeDocument/2006/relationships/hyperlink" Target="https://journals.plos.org/plosone/" TargetMode="External"/><Relationship Id="rIdnf6bf1k8a5oq217dzr0ha" Type="http://schemas.openxmlformats.org/officeDocument/2006/relationships/hyperlink" Target="https://doi.org/10.1007/s12599-023-00808-9" TargetMode="External"/><Relationship Id="rIdov5jcxjam8svma9oryvuv" Type="http://schemas.openxmlformats.org/officeDocument/2006/relationships/hyperlink" Target="https://ieeexplore.ieee.org" TargetMode="External"/><Relationship Id="rIdv-ow7upihue6xc2dmsy76" Type="http://schemas.openxmlformats.org/officeDocument/2006/relationships/hyperlink" Target="https://www.tandfonline.com" TargetMode="External"/><Relationship Id="rIdlfrk7tnddeqa6lswybclw" Type="http://schemas.openxmlformats.org/officeDocument/2006/relationships/hyperlink" Target="https://onlinelibrary.wiley.com/journal/10970266" TargetMode="External"/><Relationship Id="rId672dpxtlqd4few9nhlolk" Type="http://schemas.openxmlformats.org/officeDocument/2006/relationships/hyperlink" Target="https://doi.org/10.1007/s11747-024-01073-2" TargetMode="External"/><Relationship Id="rId5_j1nx08rlxvikcjubnn-" Type="http://schemas.openxmlformats.org/officeDocument/2006/relationships/hyperlink" Target="https://www.tandfonline.com/journals/rjmc20" TargetMode="External"/><Relationship Id="rId-xtmfpnnt69v9iciqiams" Type="http://schemas.openxmlformats.org/officeDocument/2006/relationships/hyperlink" Target="https://www.mdpi.com" TargetMode="External"/><Relationship Id="rIdwbkck9hgxraxriyxt7v4c" Type="http://schemas.openxmlformats.org/officeDocument/2006/relationships/hyperlink" Target="https://academic.oup.com" TargetMode="External"/><Relationship Id="rId6e8rgvhzqmau1diencntx" Type="http://schemas.openxmlformats.org/officeDocument/2006/relationships/hyperlink" Target="https://link.springer.com/journal/10824" TargetMode="External"/><Relationship Id="rIdhkbhyjstyrfv_rna6nj6f" Type="http://schemas.openxmlformats.org/officeDocument/2006/relationships/hyperlink" Target="https://doi.org/10.1177/20563051231180628" TargetMode="External"/><Relationship Id="rIdg9duzfmawhmeyljdvdwvo" Type="http://schemas.openxmlformats.org/officeDocument/2006/relationships/hyperlink" Target="https://link.springer.com/journal/41262" TargetMode="External"/><Relationship Id="rIdzy6m--fcerespxu0-bilh" Type="http://schemas.openxmlformats.org/officeDocument/2006/relationships/hyperlink" Target="https://www.sciencedirect.com/journal/journal-of-business-research" TargetMode="External"/><Relationship Id="rId_vpg1ufwfmdbk_6yyrmdf" Type="http://schemas.openxmlformats.org/officeDocument/2006/relationships/hyperlink" Target="https://www.shopify.com/blog/topics/case-studies" TargetMode="External"/><Relationship Id="rIdswe_lmfrbfykkcntoxqm4" Type="http://schemas.openxmlformats.org/officeDocument/2006/relationships/hyperlink" Target="https://www.sba.gov/business-guide/launch-your-business/choose-business-structure" TargetMode="External"/><Relationship Id="rId03nd5z4pua1pp9sndtczk" Type="http://schemas.openxmlformats.org/officeDocument/2006/relationships/hyperlink" Target="https://doi.org/10.1108/IJIEOM-06-2023-0054" TargetMode="External"/><Relationship Id="rId7p5egr6co6v1xaury0yzq" Type="http://schemas.openxmlformats.org/officeDocument/2006/relationships/hyperlink" Target="https://www.researchgate.net" TargetMode="External"/><Relationship Id="rIdd8jdja_qjq1vuxiywizzs" Type="http://schemas.openxmlformats.org/officeDocument/2006/relationships/hyperlink" Target="https://journals.sagepub.com/home/jmx" TargetMode="External"/><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2026-03-18T17:38:21.680Z</dcterms:created>
  <dcterms:modified xsi:type="dcterms:W3CDTF">2026-03-18T17:38:21.681Z</dcterms:modified>
</cp:coreProperties>
</file>

<file path=docProps/custom.xml><?xml version="1.0" encoding="utf-8"?>
<Properties xmlns="http://schemas.openxmlformats.org/officeDocument/2006/custom-properties" xmlns:vt="http://schemas.openxmlformats.org/officeDocument/2006/docPropsVTypes"/>
</file>