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059A3" w:rsidRPr="0072195D" w:rsidRDefault="004059A3">
      <w:pPr>
        <w:spacing w:before="2400"/>
        <w:rPr>
          <w:rFonts w:ascii="Helvetica" w:hAnsi="Helvetica"/>
        </w:rPr>
      </w:pPr>
    </w:p>
    <w:p w:rsidR="004059A3" w:rsidRPr="0072195D" w:rsidRDefault="00000000">
      <w:pPr>
        <w:spacing w:before="120" w:after="240"/>
        <w:jc w:val="center"/>
        <w:rPr>
          <w:rFonts w:ascii="Helvetica" w:hAnsi="Helvetica"/>
        </w:rPr>
      </w:pPr>
      <w:r w:rsidRPr="0072195D">
        <w:rPr>
          <w:rFonts w:ascii="Helvetica" w:hAnsi="Helvetica"/>
          <w:b/>
          <w:bCs/>
          <w:color w:val="1F4E79"/>
          <w:sz w:val="56"/>
          <w:szCs w:val="56"/>
        </w:rPr>
        <w:t>EXECUTIVE BRIEF</w:t>
      </w:r>
    </w:p>
    <w:p w:rsidR="004059A3" w:rsidRPr="0072195D" w:rsidRDefault="00000000">
      <w:pPr>
        <w:spacing w:before="120" w:after="240"/>
        <w:jc w:val="center"/>
        <w:rPr>
          <w:rFonts w:ascii="Helvetica" w:hAnsi="Helvetica"/>
        </w:rPr>
      </w:pPr>
      <w:r w:rsidRPr="0072195D">
        <w:rPr>
          <w:rFonts w:ascii="Helvetica" w:hAnsi="Helvetica"/>
          <w:b/>
          <w:bCs/>
          <w:color w:val="404040"/>
          <w:sz w:val="40"/>
          <w:szCs w:val="40"/>
        </w:rPr>
        <w:t>[NAMA PRODUK]</w:t>
      </w:r>
    </w:p>
    <w:p w:rsidR="004059A3" w:rsidRPr="0072195D" w:rsidRDefault="00000000">
      <w:pPr>
        <w:spacing w:before="60" w:after="120"/>
        <w:jc w:val="center"/>
        <w:rPr>
          <w:rFonts w:ascii="Helvetica" w:hAnsi="Helvetica"/>
        </w:rPr>
      </w:pPr>
      <w:r w:rsidRPr="0072195D">
        <w:rPr>
          <w:rFonts w:ascii="Helvetica" w:hAnsi="Helvetica"/>
          <w:i/>
          <w:iCs/>
          <w:color w:val="606060"/>
          <w:sz w:val="28"/>
          <w:szCs w:val="28"/>
        </w:rPr>
        <w:t xml:space="preserve">Superapp </w:t>
      </w:r>
      <w:r w:rsidR="0072195D" w:rsidRPr="0072195D">
        <w:rPr>
          <w:rFonts w:ascii="Helvetica" w:hAnsi="Helvetica"/>
          <w:i/>
          <w:iCs/>
          <w:color w:val="606060"/>
          <w:sz w:val="28"/>
          <w:szCs w:val="28"/>
        </w:rPr>
        <w:t>Integrated-</w:t>
      </w:r>
      <w:r w:rsidRPr="0072195D">
        <w:rPr>
          <w:rFonts w:ascii="Helvetica" w:hAnsi="Helvetica"/>
          <w:i/>
          <w:iCs/>
          <w:color w:val="606060"/>
          <w:sz w:val="28"/>
          <w:szCs w:val="28"/>
        </w:rPr>
        <w:t>Marketplace Concept</w:t>
      </w:r>
    </w:p>
    <w:p w:rsidR="004059A3" w:rsidRPr="0072195D" w:rsidRDefault="00000000">
      <w:pPr>
        <w:spacing w:before="60" w:after="1200"/>
        <w:jc w:val="center"/>
        <w:rPr>
          <w:rFonts w:ascii="Helvetica" w:hAnsi="Helvetica"/>
        </w:rPr>
      </w:pPr>
      <w:r w:rsidRPr="0072195D">
        <w:rPr>
          <w:rFonts w:ascii="Helvetica" w:hAnsi="Helvetica"/>
          <w:color w:val="808080"/>
          <w:sz w:val="24"/>
          <w:szCs w:val="24"/>
        </w:rPr>
        <w:t>Infrastruktur Ekonomi Terintegrasi dengan Fairness sebagai Prinsip Operasional</w:t>
      </w:r>
    </w:p>
    <w:p w:rsidR="004059A3" w:rsidRPr="0072195D" w:rsidRDefault="00000000">
      <w:pPr>
        <w:spacing w:before="240" w:after="60"/>
        <w:jc w:val="center"/>
        <w:rPr>
          <w:rFonts w:ascii="Helvetica" w:hAnsi="Helvetica"/>
        </w:rPr>
      </w:pPr>
      <w:r w:rsidRPr="0072195D">
        <w:rPr>
          <w:rFonts w:ascii="Helvetica" w:hAnsi="Helvetica"/>
          <w:color w:val="404040"/>
        </w:rPr>
        <w:t>Dokumen Ringkasan Eksekutif untuk Founder &amp; Lingkar Strategis</w:t>
      </w:r>
    </w:p>
    <w:p w:rsidR="004059A3" w:rsidRPr="0072195D" w:rsidRDefault="00000000">
      <w:pPr>
        <w:spacing w:before="60" w:after="240"/>
        <w:jc w:val="center"/>
        <w:rPr>
          <w:rFonts w:ascii="Helvetica" w:hAnsi="Helvetica"/>
        </w:rPr>
      </w:pPr>
      <w:r w:rsidRPr="0072195D">
        <w:rPr>
          <w:rFonts w:ascii="Helvetica" w:hAnsi="Helvetica"/>
          <w:color w:val="808080"/>
          <w:sz w:val="20"/>
          <w:szCs w:val="20"/>
        </w:rPr>
        <w:t>Versi Draft 1.0 · 13 Mei 2026</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1. Proposisi Inti</w:t>
      </w:r>
    </w:p>
    <w:p w:rsidR="004059A3" w:rsidRPr="0072195D" w:rsidRDefault="00000000">
      <w:pPr>
        <w:spacing w:before="60" w:after="120" w:line="300" w:lineRule="auto"/>
        <w:jc w:val="both"/>
        <w:rPr>
          <w:rFonts w:ascii="Helvetica" w:hAnsi="Helvetica"/>
        </w:rPr>
      </w:pPr>
      <w:r w:rsidRPr="0072195D">
        <w:rPr>
          <w:rFonts w:ascii="Helvetica" w:hAnsi="Helvetica"/>
        </w:rPr>
        <w:t>[NAMA PRODUK] adalah superapp yang berdiri sebagai infrastruktur ekonomi terintegrasi—menyatukan perdagangan barang, layanan finansial, virtual office, dan kanal edukasi dalam satu lapisan operasional. Yang membedakannya dari platform existing bukan fitur, melainkan prinsip: fairness engine yang transparan dan tidak ekstraktif terhadap satu pun pihak di ekosistem.</w:t>
      </w:r>
    </w:p>
    <w:p w:rsidR="004059A3" w:rsidRPr="0072195D" w:rsidRDefault="00000000">
      <w:pPr>
        <w:spacing w:before="60" w:after="120" w:line="300" w:lineRule="auto"/>
        <w:jc w:val="both"/>
        <w:rPr>
          <w:rFonts w:ascii="Helvetica" w:hAnsi="Helvetica"/>
        </w:rPr>
      </w:pPr>
      <w:r w:rsidRPr="0072195D">
        <w:rPr>
          <w:rFonts w:ascii="Helvetica" w:hAnsi="Helvetica"/>
        </w:rPr>
        <w:t>Konsep ini menjawab tiga momentum yang bertepatan di Indonesia 2026: pertama, maturity regulasi (UU P2SK, UU PDP, transisi crypto ke OJK telah selesai); kedua, fatigue publik terhadap platform ekstraktif yang memeras UMKM dan kurir; ketiga, AI yang matang sebagai enabler fairness engine dinamis lintas jutaan transaksi. Tailwind tambahan datang dari shift supply chain ke ASEAN.</w:t>
      </w:r>
    </w:p>
    <w:p w:rsidR="004059A3" w:rsidRPr="0072195D" w:rsidRDefault="00000000">
      <w:pPr>
        <w:pStyle w:val="Heading2"/>
        <w:rPr>
          <w:rFonts w:ascii="Helvetica" w:hAnsi="Helvetica"/>
        </w:rPr>
      </w:pPr>
      <w:r w:rsidRPr="0072195D">
        <w:rPr>
          <w:rFonts w:ascii="Helvetica" w:hAnsi="Helvetica"/>
        </w:rPr>
        <w:t>Empat Vertikal Operasional</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Marketplace perdagangan barang—mencakup tiga tier penjual (perorangan non-formal, UMKM, korporat/manufaktur) dan dua mode (B2C, B2B), didukung jaringan logistik hybrid (intelligent routing + own-fleet tipis).</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Virtual office sebagai layer infrastruktur jasa publik dan finansial. Konsumen reguler menyewa workspace digital; bank besar (BCA, Mandiri, BRI, BNI) dan kementerian/lembaga (Kemenkop, Dukcapil, BPJS, BNSP, DJP) membuka lapak via embedded experience—ini adalah killer differentiator yang tidak dimiliki kompetitor.</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Trading finansial (forex, saham, crypto)—dengan strategi lisensi tier-1 multi-yuridiksi (OJK, MAS Singapore, FCA UK), bukan offshore tier-2 yang akan merusak narrative anti-opacity.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Kanal edukasi &amp; masterclass dengan dua sub-stream (endogenous practitioner + generik external), launching paralel di Year 1 dan menjadi acquisition engine untuk vertikal lain.</w:t>
      </w:r>
    </w:p>
    <w:p w:rsidR="004059A3" w:rsidRPr="0072195D" w:rsidRDefault="00000000">
      <w:pPr>
        <w:pStyle w:val="Heading2"/>
        <w:rPr>
          <w:rFonts w:ascii="Helvetica" w:hAnsi="Helvetica"/>
        </w:rPr>
      </w:pPr>
      <w:r w:rsidRPr="0072195D">
        <w:rPr>
          <w:rFonts w:ascii="Helvetica" w:hAnsi="Helvetica"/>
        </w:rPr>
        <w:t>Brand Positioning</w:t>
      </w:r>
    </w:p>
    <w:p w:rsidR="004059A3" w:rsidRPr="0072195D" w:rsidRDefault="00000000">
      <w:pPr>
        <w:spacing w:before="60" w:after="120" w:line="300" w:lineRule="auto"/>
        <w:jc w:val="both"/>
        <w:rPr>
          <w:rFonts w:ascii="Helvetica" w:hAnsi="Helvetica"/>
        </w:rPr>
      </w:pPr>
      <w:r w:rsidRPr="0072195D">
        <w:rPr>
          <w:rFonts w:ascii="Helvetica" w:hAnsi="Helvetica"/>
        </w:rPr>
        <w:t>Platform berdiri melawan dua hal sekaligus: anti-extractive (tidak ada pihak yang dirugikan agar pihak lain menang) dan anti-opacity (setiap rupiah, setiap aturan, terlihat). Archetype hybrid dua-lapis: secara operasional Ruler + Sage (otoritatif dan bijak, “regulator yang berpihak pada keadilan”), secara janji publik Magician + Hero (memberdayakan, level playing field, transformasi yang memindahkan seluruh ekosistem bisnis ke perangkat).</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2. Fairness Engine — Diferensiator yang Sulit Ditiru</w:t>
      </w:r>
    </w:p>
    <w:p w:rsidR="004059A3" w:rsidRPr="0072195D" w:rsidRDefault="00000000">
      <w:pPr>
        <w:spacing w:before="60" w:after="120" w:line="300" w:lineRule="auto"/>
        <w:jc w:val="both"/>
        <w:rPr>
          <w:rFonts w:ascii="Helvetica" w:hAnsi="Helvetica"/>
        </w:rPr>
      </w:pPr>
      <w:r w:rsidRPr="0072195D">
        <w:rPr>
          <w:rFonts w:ascii="Helvetica" w:hAnsi="Helvetica"/>
        </w:rPr>
        <w:t>Fairness engine adalah jantung konsep dan satu-satunya alasan superapp ini punya hak untuk ada. Konsep ini berisiko jatuh ke jebakan UU 5/1999 (anti-monopoli)—terutama dalam preseden agresif KPPU yang baru, antara lain putusan terhadap Google Play Billing (denda Rp 202,5 miliar, final di Mahkamah Agung Maret 2026) dan 97 pinjol (Rp 755 miliar, Maret 2026). Karena itu, fairness engine dibangun dengan struktur legal hybrid multi-layer yang setiap lapisnya sah secara hukum.</w:t>
      </w:r>
    </w:p>
    <w:p w:rsidR="004059A3" w:rsidRPr="0072195D" w:rsidRDefault="00000000">
      <w:pPr>
        <w:pStyle w:val="Heading2"/>
        <w:rPr>
          <w:rFonts w:ascii="Helvetica" w:hAnsi="Helvetica"/>
        </w:rPr>
      </w:pPr>
      <w:r w:rsidRPr="0072195D">
        <w:rPr>
          <w:rFonts w:ascii="Helvetica" w:hAnsi="Helvetica"/>
        </w:rPr>
        <w:t>Empat Lapis Struktur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660"/>
      </w:tblGrid>
      <w:tr w:rsidR="004059A3" w:rsidRPr="0072195D">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Lapis</w:t>
            </w:r>
          </w:p>
        </w:tc>
        <w:tc>
          <w:tcPr>
            <w:tcW w:w="4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Model Hukum</w:t>
            </w:r>
          </w:p>
        </w:tc>
        <w:tc>
          <w:tcPr>
            <w:tcW w:w="26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Untuk Kategori</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A</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Waralaba (PP 35/2024)—platform sebagai franchisor; harga fix sah</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Private label &amp; komoditas standar</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B</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Agency / keagenan / konsinyasi (Permendag 22/2016 + KUHD)—platform sebagai principal</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Service, logistik, edukasi, virtual office reguler</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C</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Maximum/Specified RPM (Perkom KPPU 8/2011)—rule of reason, hanya minimum RPM yang dilarang</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Brand independen (korporat &amp; UMKM dengan merek sendiri)</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Lapis D</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Enterprise Lease + Revenue Share—kontrak B2B custom (POJK 12/2018 untuk bank; MoU formal di bawah UU Pelayanan Publik untuk pemerintah)</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Bank &amp; government tenant</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Governance</w:t>
            </w:r>
          </w:p>
        </w:tc>
        <w:tc>
          <w:tcPr>
            <w:tcW w:w="4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Koperasi Platform (Pasal 33 UUD 1945, UU Perkoperasian)—governance fairness engine di atas PT operasional</w:t>
            </w:r>
          </w:p>
        </w:tc>
        <w:tc>
          <w:tcPr>
            <w:tcW w:w="26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Layer filosofis &amp; legitimasi narasi</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Transparansi sebagai Moat</w:t>
      </w:r>
    </w:p>
    <w:p w:rsidR="004059A3" w:rsidRPr="0072195D" w:rsidRDefault="00000000">
      <w:pPr>
        <w:spacing w:before="60" w:after="120" w:line="300" w:lineRule="auto"/>
        <w:jc w:val="both"/>
        <w:rPr>
          <w:rFonts w:ascii="Helvetica" w:hAnsi="Helvetica"/>
        </w:rPr>
      </w:pPr>
      <w:r w:rsidRPr="0072195D">
        <w:rPr>
          <w:rFonts w:ascii="Helvetica" w:hAnsi="Helvetica"/>
        </w:rPr>
        <w:t>Setiap transaksi menampilkan breakdown harga secara real-time kepada penjual maupun pembeli: cost, margin tiap pihak, fee platform. Formula pembagian margin dipublikasikan terbuka. Margin platform sendiri ditarget 8-12%—jauh di bawah industry standard 15-30%—sebagai klaim anti-extractive yang konkret dan defensible. Setelah komitmen ini ditetapkan secara publik, platform tidak bisa mundur tanpa kerusakan reputasi besar. Itulah sumber moat strategis-nya: kompetitor harus rela mengungkap economics mereka untuk meniru.</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3. Roadmap Empat Tahun</w:t>
      </w:r>
    </w:p>
    <w:p w:rsidR="004059A3" w:rsidRPr="0072195D" w:rsidRDefault="00000000">
      <w:pPr>
        <w:spacing w:before="60" w:after="120" w:line="300" w:lineRule="auto"/>
        <w:jc w:val="both"/>
        <w:rPr>
          <w:rFonts w:ascii="Helvetica" w:hAnsi="Helvetica"/>
        </w:rPr>
      </w:pPr>
      <w:r w:rsidRPr="0072195D">
        <w:rPr>
          <w:rFonts w:ascii="Helvetica" w:hAnsi="Helvetica"/>
        </w:rPr>
        <w:t>Eksekusi dirancang bertahap untuk menghindari jebakan ‘boil the ocean’ yang menghancurkan banyak superapp ambisius. Year 0 (12 bulan foundation) menyiapkan struktur legal, MVP, dan deal-making; Year 1-4 mengaktifkan vertikal secara berurutan dengan phase gates yang jelas.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4460"/>
      </w:tblGrid>
      <w:tr w:rsidR="004059A3" w:rsidRPr="0072195D">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Fase</w:t>
            </w:r>
          </w:p>
        </w:tc>
        <w:tc>
          <w:tcPr>
            <w:tcW w:w="3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Fokus</w:t>
            </w:r>
          </w:p>
        </w:tc>
        <w:tc>
          <w:tcPr>
            <w:tcW w:w="44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Output Kunci</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0</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Foundation (12 bulan)</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PSE Komdigi terdaftar; 6-8 entitas legal berdiri; MVP siap; 15+ korporat MoU/LOI; 5-10 bank dalam pipeline; 300+ UMKM closed beta; tim 80-120 orang; Singapore holding setup; multi-lisensi trading dalam progress</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1</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Foundation Volume—Jakarta first, ekspansi 3 kota tier-1, nasional via online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Marketplace launch (5 kategori prioritas); virtual office reguler; edukasi full launch (endogenous + generik); 5+ bank tenant pilot (BCA, Mandiri, BRI, BNI, plus); 2+ government MoU (Kemenkop, Dukcapil); GMV Rp 500M-1T; MAU 500K-1M; pembelajar aktif 100K+</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2</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Activation &amp; Scale—nasional</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Aktivasi penuh marketplace; korporat brand 100+; bank tenant 15+; government MoU 5+ (OSS, BNSP, dst); marketplace per-transaction profitable; universal wallet aktif 1M+; GMV Rp 3-5T</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3</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Trading Activation—global niche</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Crypto trading aktif Q1 (OJK + MAS DTSP + FCA); forex aktif Q3 (Bappebti + FCA + MAS); financial literacy masterclass mendalam; marketplace aggregate profitable; virtual office &amp; edukasi profitable; GMV Rp 8-12T</w:t>
            </w:r>
          </w:p>
        </w:tc>
      </w:tr>
      <w:tr w:rsidR="004059A3" w:rsidRPr="0072195D">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Year 4</w:t>
            </w:r>
          </w:p>
        </w:tc>
        <w:tc>
          <w:tcPr>
            <w:tcW w:w="3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Aggregate Break-even + ASEAN</w:t>
            </w:r>
          </w:p>
        </w:tc>
        <w:tc>
          <w:tcPr>
            <w:tcW w:w="4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Saham via partner-broker model active; ASEAN entry 2+ negara pilot untuk vertikal fisik; aggregate break-even tercapai; modul edukasi internal-data based launch; GMV Rp 20-30T</w:t>
            </w:r>
          </w:p>
        </w:tc>
      </w:tr>
    </w:tbl>
    <w:p w:rsidR="004059A3" w:rsidRPr="0072195D" w:rsidRDefault="004059A3">
      <w:pPr>
        <w:spacing w:after="200"/>
        <w:rPr>
          <w:rFonts w:ascii="Helvetica" w:hAnsi="Helvetica"/>
        </w:rPr>
      </w:pPr>
    </w:p>
    <w:p w:rsidR="004059A3" w:rsidRPr="0072195D" w:rsidRDefault="00000000">
      <w:pPr>
        <w:spacing w:before="60" w:after="120" w:line="300" w:lineRule="auto"/>
        <w:jc w:val="both"/>
        <w:rPr>
          <w:rFonts w:ascii="Helvetica" w:hAnsi="Helvetica"/>
        </w:rPr>
      </w:pPr>
      <w:r w:rsidRPr="0072195D">
        <w:rPr>
          <w:rFonts w:ascii="Helvetica" w:hAnsi="Helvetica"/>
        </w:rPr>
        <w:lastRenderedPageBreak/>
        <w:t>Phase gates menggunakan model hybrid time + metric + escape valve qualitative review. Setiap fase wajib memenuhi durasi minimum 12 bulan dan KPI minimum sebelum lanjut; jika metric tidak tercapai, board melakukan review untuk pilih: extend fase, course-correct, atau force-proceed dengan mitigasi.</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4. Struktur Legal &amp; Inkorporasi</w:t>
      </w:r>
    </w:p>
    <w:p w:rsidR="004059A3" w:rsidRPr="0072195D" w:rsidRDefault="00000000">
      <w:pPr>
        <w:spacing w:before="60" w:after="120" w:line="300" w:lineRule="auto"/>
        <w:jc w:val="both"/>
        <w:rPr>
          <w:rFonts w:ascii="Helvetica" w:hAnsi="Helvetica"/>
        </w:rPr>
      </w:pPr>
      <w:r w:rsidRPr="0072195D">
        <w:rPr>
          <w:rFonts w:ascii="Helvetica" w:hAnsi="Helvetica"/>
        </w:rPr>
        <w:t>Inkorporasi mengikuti praktik standar tech industry Asia: holding offshore + operasi penuh di Indonesia + listing optionality terbuka. Default yuridiksi holding adalah Singapore Pte Ltd (corporate tax 17%, tax treaty network terbaik di ASEAN, regulasi MAS clear, infrastruktur fintech matang). Yuridiksi alternatif setara tetap dipertahankan terbuka: Cayman/BVI untuk IPO US route, Hong Kong untuk akses Greater China, Delaware untuk legal infrastructure US, Netherlands untuk investor Eropa, UAE DIFC/ADGM untuk eksposur Timur Tengah.</w:t>
      </w:r>
    </w:p>
    <w:p w:rsidR="004059A3" w:rsidRPr="0072195D" w:rsidRDefault="00000000">
      <w:pPr>
        <w:spacing w:before="60" w:after="120" w:line="300" w:lineRule="auto"/>
        <w:jc w:val="both"/>
        <w:rPr>
          <w:rFonts w:ascii="Helvetica" w:hAnsi="Helvetica"/>
        </w:rPr>
      </w:pPr>
      <w:r w:rsidRPr="0072195D">
        <w:rPr>
          <w:rFonts w:ascii="Helvetica" w:hAnsi="Helvetica"/>
        </w:rPr>
        <w:t>Yang penting digarisbawahi: ini bukan tax avoidance. PT Indonesia tetap wajib berdiri sebagai subsidiary operasional, dan pajak Indonesia atas revenue Indonesia (PPN PMSE 11%, PPh badan) tetap dibayar penuh. Struktur ini adalah tax dan capital efficiency yang legitimate via transfer pricing yang defensible. Estimasi blended effective tax rate grup: 12-18% versus pure Indonesia 22%. Narasi ini akan pre-empted secara publik via whitepaper FAQ di Year 0.</w:t>
      </w:r>
    </w:p>
    <w:p w:rsidR="004059A3" w:rsidRPr="0072195D" w:rsidRDefault="00000000">
      <w:pPr>
        <w:pStyle w:val="Heading2"/>
        <w:rPr>
          <w:rFonts w:ascii="Helvetica" w:hAnsi="Helvetica"/>
        </w:rPr>
      </w:pPr>
      <w:r w:rsidRPr="0072195D">
        <w:rPr>
          <w:rFonts w:ascii="Helvetica" w:hAnsi="Helvetica"/>
        </w:rPr>
        <w:t>Arsitektur Entitas</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Offshore Parent (default Singapore) untuk capital raising &amp; exit optionality.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Indonesia Holding (PT) sebagai entitas penghubung.</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Operasi Holding (PT) membawahi: marketplace operator (PSE Komdigi), virtual office &amp; edukasi operator (PSE), logistik subsidiary.</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Finansial Holding (PT) membawahi: e-money issuer (Lisensi BI, modal min Rp 5 miliar), crypto trader (Lisensi OJK + member CFX, modal min Rp 100 miliar), pialang berjangka forex (Lisensi Bappebti, modal min Rp 25 miliar).</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Koperasi Platform terpisah (UU Perkoperasian) dengan formal partnership ke Indonesia Holding—governance fairness engine.</w:t>
      </w:r>
    </w:p>
    <w:p w:rsidR="004059A3" w:rsidRPr="0072195D" w:rsidRDefault="00000000">
      <w:pPr>
        <w:pStyle w:val="ListParagraph"/>
        <w:numPr>
          <w:ilvl w:val="0"/>
          <w:numId w:val="2"/>
        </w:numPr>
        <w:spacing w:before="40" w:after="40" w:line="280" w:lineRule="auto"/>
        <w:rPr>
          <w:rFonts w:ascii="Helvetica" w:hAnsi="Helvetica"/>
        </w:rPr>
      </w:pPr>
      <w:r w:rsidRPr="0072195D">
        <w:rPr>
          <w:rFonts w:ascii="Helvetica" w:hAnsi="Helvetica"/>
        </w:rPr>
        <w:t>Saham trading via partner-broker model—tidak butuh lisensi sendiri, partnership dengan broker existing per negara.</w:t>
      </w:r>
    </w:p>
    <w:p w:rsidR="004059A3" w:rsidRPr="0072195D" w:rsidRDefault="00000000">
      <w:pPr>
        <w:spacing w:before="60" w:after="120" w:line="300" w:lineRule="auto"/>
        <w:jc w:val="both"/>
        <w:rPr>
          <w:rFonts w:ascii="Helvetica" w:hAnsi="Helvetica"/>
        </w:rPr>
      </w:pPr>
      <w:r w:rsidRPr="0072195D">
        <w:rPr>
          <w:rFonts w:ascii="Helvetica" w:hAnsi="Helvetica"/>
        </w:rPr>
        <w:t>Total enam sampai delapan entitas legal. Kompleks, tetapi sesuai dengan ambisi modal pemesan dan diperlukan untuk compliance multi-lisensi yang ketat.</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5. Model Bisnis &amp; Funding</w:t>
      </w:r>
    </w:p>
    <w:p w:rsidR="004059A3" w:rsidRPr="0072195D" w:rsidRDefault="00000000">
      <w:pPr>
        <w:pStyle w:val="Heading2"/>
        <w:rPr>
          <w:rFonts w:ascii="Helvetica" w:hAnsi="Helvetica"/>
        </w:rPr>
      </w:pPr>
      <w:r w:rsidRPr="0072195D">
        <w:rPr>
          <w:rFonts w:ascii="Helvetica" w:hAnsi="Helvetica"/>
        </w:rPr>
        <w:t>Empat Kaki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4059A3" w:rsidRPr="0072195D">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Stream</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Bobot</w:t>
            </w:r>
          </w:p>
        </w:tc>
        <w:tc>
          <w:tcPr>
            <w:tcW w:w="48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Karakteristik</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Subscription tier-based</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35-45%</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Predictable, semua pihak berbayar (pembeli B2C gratis). Hybrid base + usage per persona.</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Transaction fee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20-30%</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8-12% per transaksi, growth-linked, di bawah industry standard 15-30% (anti-extractive)</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Value-added services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15-25%</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Certification, edukasi premium, data insights korporat, financial spread, virtual office premium</w:t>
            </w:r>
          </w:p>
        </w:tc>
      </w:tr>
      <w:tr w:rsidR="004059A3" w:rsidRPr="0072195D">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High-Value Enterprise Tenancy</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10-20%</w:t>
            </w:r>
          </w:p>
        </w:tc>
        <w:tc>
          <w:tcPr>
            <w:tcW w:w="4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Revenue dari bank &amp; government tenant via Enterprise Lease + Revenue Share—high contract value, long-term, low churn</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Pembeli B2C Tetap Gratis</w:t>
      </w:r>
    </w:p>
    <w:p w:rsidR="004059A3" w:rsidRPr="0072195D" w:rsidRDefault="00000000">
      <w:pPr>
        <w:spacing w:before="60" w:after="120" w:line="300" w:lineRule="auto"/>
        <w:jc w:val="both"/>
        <w:rPr>
          <w:rFonts w:ascii="Helvetica" w:hAnsi="Helvetica"/>
        </w:rPr>
      </w:pPr>
      <w:r w:rsidRPr="0072195D">
        <w:rPr>
          <w:rFonts w:ascii="Helvetica" w:hAnsi="Helvetica"/>
        </w:rPr>
        <w:t>Akses dasar marketplace tetap gratis untuk semua pembeli. Membership pembeli dirancang dual-track: earned tier (Bronze/Silver/Gold/Platinum) didapat lewat aktivitas tanpa biaya—sebagai backbone loyalty dan engagement loop natural. Paid membership (Rp 30-50k/bulan atau Rp 250k/tahun) opsional sebagai accelerator untuk privilege tier tinggi tanpa menunggu, plus benefit eksklusif. Ini konsisten dengan ekspektasi pasar Indonesia sekaligus brand positioning anti-extractive.</w:t>
      </w:r>
    </w:p>
    <w:p w:rsidR="004059A3" w:rsidRPr="0072195D" w:rsidRDefault="00000000">
      <w:pPr>
        <w:pStyle w:val="Heading2"/>
        <w:rPr>
          <w:rFonts w:ascii="Helvetica" w:hAnsi="Helvetica"/>
        </w:rPr>
      </w:pPr>
      <w:r w:rsidRPr="0072195D">
        <w:rPr>
          <w:rFonts w:ascii="Helvetica" w:hAnsi="Helvetica"/>
        </w:rPr>
        <w:t>Funding &amp; Capital Outlay</w:t>
      </w:r>
    </w:p>
    <w:p w:rsidR="004059A3" w:rsidRPr="0072195D" w:rsidRDefault="00000000">
      <w:pPr>
        <w:spacing w:before="60" w:after="120" w:line="300" w:lineRule="auto"/>
        <w:jc w:val="both"/>
        <w:rPr>
          <w:rFonts w:ascii="Helvetica" w:hAnsi="Helvetica"/>
        </w:rPr>
      </w:pPr>
      <w:r w:rsidRPr="0072195D">
        <w:rPr>
          <w:rFonts w:ascii="Helvetica" w:hAnsi="Helvetica"/>
        </w:rPr>
        <w:t>Total capital requirement Year 0-4 diestimasi USD 88-150 juta (sekitar Rp 1,4-2,4 triliun), termasuk modal disetor Indonesia (e-money, crypto, forex), modal lintas yuridiksi (Singapore + UK), operational burn empat tahun, marketing/GTM, legal-audit-compliance, dan buffer 15%.</w:t>
      </w:r>
    </w:p>
    <w:p w:rsidR="004059A3" w:rsidRPr="0072195D" w:rsidRDefault="00000000">
      <w:pPr>
        <w:spacing w:before="60" w:after="120" w:line="300" w:lineRule="auto"/>
        <w:jc w:val="both"/>
        <w:rPr>
          <w:rFonts w:ascii="Helvetica" w:hAnsi="Helvetica"/>
        </w:rPr>
      </w:pPr>
      <w:r w:rsidRPr="0072195D">
        <w:rPr>
          <w:rFonts w:ascii="Helvetica" w:hAnsi="Helvetica"/>
        </w:rPr>
        <w:t>Funding architecture mengikuti model hybrid—founder majority dengan strategic minority. Year 0-1 founder fund 100% (USD 30-50 juta). Year 2 Series A strategic USD 40-60 juta dari sovereign wealth (INA atau Temasek atau setara), bank tenant equity option, regional family office; founder tetap 70-75%. Year 3 Series B USD 60-100 juta; founder tetap 55-65%. Year 4-5 pre-IPO atau strategic exit. Aggregate break-even Year 4-5—modal pemesan memberi runway 5+ tahun, narasi lebih sehat daripada ‘bakar sampai dominasi’.</w:t>
      </w:r>
    </w:p>
    <w:p w:rsidR="004059A3" w:rsidRPr="0072195D" w:rsidRDefault="00000000">
      <w:pPr>
        <w:rPr>
          <w:rFonts w:ascii="Helvetica" w:hAnsi="Helvetica"/>
        </w:rPr>
      </w:pPr>
      <w:r w:rsidRPr="0072195D">
        <w:rPr>
          <w:rFonts w:ascii="Helvetica" w:hAnsi="Helvetica"/>
        </w:rPr>
        <w:br w:type="page"/>
      </w:r>
    </w:p>
    <w:p w:rsidR="004059A3" w:rsidRPr="0072195D" w:rsidRDefault="00000000">
      <w:pPr>
        <w:pStyle w:val="Heading1"/>
        <w:pBdr>
          <w:bottom w:val="single" w:sz="8" w:space="4" w:color="1F4E79"/>
        </w:pBdr>
        <w:rPr>
          <w:rFonts w:ascii="Helvetica" w:hAnsi="Helvetica"/>
        </w:rPr>
      </w:pPr>
      <w:r w:rsidRPr="0072195D">
        <w:rPr>
          <w:rFonts w:ascii="Helvetica" w:hAnsi="Helvetica"/>
        </w:rPr>
        <w:lastRenderedPageBreak/>
        <w:t>6. Risiko Strategis &amp; Mitigasi</w:t>
      </w:r>
    </w:p>
    <w:p w:rsidR="004059A3" w:rsidRPr="0072195D" w:rsidRDefault="00000000">
      <w:pPr>
        <w:spacing w:before="60" w:after="120" w:line="300" w:lineRule="auto"/>
        <w:jc w:val="both"/>
        <w:rPr>
          <w:rFonts w:ascii="Helvetica" w:hAnsi="Helvetica"/>
        </w:rPr>
      </w:pPr>
      <w:r w:rsidRPr="0072195D">
        <w:rPr>
          <w:rFonts w:ascii="Helvetica" w:hAnsi="Helvetica"/>
        </w:rPr>
        <w:t>Risk register komprehensif berisi 23 risk yang diidentifikasi, di-score dengan metodologi Likelihood × Severity (1-25), dikategorikan dalam enam kelompok, dan diberi playbook eksekusi. Heatmap menunjukkan: 1 risk Critical, 5 risk High, 19 risk Medium, 1 risk Low. Sebelas risk sudah termitigasi struktural lewat keputusan-keputusan platform; sembilan masih medium dengan playbook aktif; tiga critical butuh leadership attention berkelanjutan.</w:t>
      </w:r>
    </w:p>
    <w:p w:rsidR="004059A3" w:rsidRPr="0072195D" w:rsidRDefault="00000000">
      <w:pPr>
        <w:pStyle w:val="Heading2"/>
        <w:rPr>
          <w:rFonts w:ascii="Helvetica" w:hAnsi="Helvetica"/>
        </w:rPr>
      </w:pPr>
      <w:r w:rsidRPr="0072195D">
        <w:rPr>
          <w:rFonts w:ascii="Helvetica" w:hAnsi="Helvetica"/>
        </w:rPr>
        <w:t>Tiga Risiko Utama untuk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6060"/>
      </w:tblGrid>
      <w:tr w:rsidR="004059A3" w:rsidRPr="0072195D">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Risk</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Score</w:t>
            </w:r>
          </w:p>
        </w:tc>
        <w:tc>
          <w:tcPr>
            <w:tcW w:w="6060" w:type="dxa"/>
            <w:tcBorders>
              <w:top w:val="single" w:sz="4" w:space="0" w:color="CCCCCC"/>
              <w:left w:val="single" w:sz="4" w:space="0" w:color="CCCCCC"/>
              <w:bottom w:val="single" w:sz="4" w:space="0" w:color="CCCCCC"/>
              <w:right w:val="single" w:sz="4" w:space="0" w:color="CCCCCC"/>
            </w:tcBorders>
            <w:shd w:val="clear" w:color="auto" w:fill="1F4E79"/>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color w:val="FFFFFF"/>
                <w:sz w:val="20"/>
                <w:szCs w:val="20"/>
              </w:rPr>
              <w:t>Mitigasi Utama</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R-03 Scope ‘boil the ocean’</w:t>
            </w:r>
          </w:p>
        </w:tc>
        <w:tc>
          <w:tcPr>
            <w:tcW w:w="1100" w:type="dxa"/>
            <w:tcBorders>
              <w:top w:val="single" w:sz="4" w:space="0" w:color="CCCCCC"/>
              <w:left w:val="single" w:sz="4" w:space="0" w:color="CCCCCC"/>
              <w:bottom w:val="single" w:sz="4" w:space="0" w:color="CCCCCC"/>
              <w:right w:val="single" w:sz="4" w:space="0" w:color="CCCCCC"/>
            </w:tcBorders>
            <w:shd w:val="clear" w:color="auto" w:fill="FBE5D6"/>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20 (Critical)</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Dedicated PMO dari Year 0, board quarterly review per vertikal P&amp;L, authority untuk pause vertikal underperforming, modular architecture sehingga 1 vertikal failure tidak bring down lainnya</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R-15 Talent war Indonesia</w:t>
            </w:r>
          </w:p>
        </w:tc>
        <w:tc>
          <w:tcPr>
            <w:tcW w:w="11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16 (High)</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Diversifikasi tim ke kota tier-2 (Yogyakarta atau Bandung), competitive comp+equity, employer branding via founder thought leadership, university partnership untuk pipeline</w:t>
            </w:r>
          </w:p>
        </w:tc>
      </w:tr>
      <w:tr w:rsidR="004059A3" w:rsidRPr="0072195D">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b/>
                <w:bCs/>
              </w:rPr>
              <w:t>R-07/R-12 Narrative &amp; KPPU</w:t>
            </w:r>
          </w:p>
        </w:tc>
        <w:tc>
          <w:tcPr>
            <w:tcW w:w="1100" w:type="dxa"/>
            <w:tcBorders>
              <w:top w:val="single" w:sz="4" w:space="0" w:color="CCCCCC"/>
              <w:left w:val="single" w:sz="4" w:space="0" w:color="CCCCCC"/>
              <w:bottom w:val="single" w:sz="4" w:space="0" w:color="CCCCCC"/>
              <w:right w:val="single" w:sz="4" w:space="0" w:color="CCCCCC"/>
            </w:tcBorders>
            <w:shd w:val="clear" w:color="auto" w:fill="FFF2CC"/>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15-16 (High)</w:t>
            </w:r>
          </w:p>
        </w:tc>
        <w:tc>
          <w:tcPr>
            <w:tcW w:w="6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sidR="004059A3" w:rsidRPr="0072195D" w:rsidRDefault="00000000">
            <w:pPr>
              <w:spacing w:before="20" w:after="20" w:line="260" w:lineRule="auto"/>
              <w:rPr>
                <w:rFonts w:ascii="Helvetica" w:hAnsi="Helvetica"/>
              </w:rPr>
            </w:pPr>
            <w:r w:rsidRPr="0072195D">
              <w:rPr>
                <w:rFonts w:ascii="Helvetica" w:hAnsi="Helvetica"/>
              </w:rPr>
              <w:t>Progressive disclosure Year 0 (whitepaper Manifesto Fairness Engine + FAQ Singapore Holding); Government-endorsed launch dengan Kemenkop; transparansi real-time; KPPU pre-notification untuk setiap perubahan fairness engine</w:t>
            </w:r>
          </w:p>
        </w:tc>
      </w:tr>
    </w:tbl>
    <w:p w:rsidR="004059A3" w:rsidRPr="0072195D" w:rsidRDefault="004059A3">
      <w:pPr>
        <w:spacing w:after="200"/>
        <w:rPr>
          <w:rFonts w:ascii="Helvetica" w:hAnsi="Helvetica"/>
        </w:rPr>
      </w:pPr>
    </w:p>
    <w:p w:rsidR="004059A3" w:rsidRPr="0072195D" w:rsidRDefault="00000000">
      <w:pPr>
        <w:pStyle w:val="Heading2"/>
        <w:rPr>
          <w:rFonts w:ascii="Helvetica" w:hAnsi="Helvetica"/>
        </w:rPr>
      </w:pPr>
      <w:r w:rsidRPr="0072195D">
        <w:rPr>
          <w:rFonts w:ascii="Helvetica" w:hAnsi="Helvetica"/>
        </w:rPr>
        <w:t>Worst-Case Scenario Planning</w:t>
      </w:r>
    </w:p>
    <w:p w:rsidR="004059A3" w:rsidRPr="0072195D" w:rsidRDefault="00000000">
      <w:pPr>
        <w:spacing w:before="60" w:after="120" w:line="300" w:lineRule="auto"/>
        <w:jc w:val="both"/>
        <w:rPr>
          <w:rFonts w:ascii="Helvetica" w:hAnsi="Helvetica"/>
        </w:rPr>
      </w:pPr>
      <w:r w:rsidRPr="0072195D">
        <w:rPr>
          <w:rFonts w:ascii="Helvetica" w:hAnsi="Helvetica"/>
        </w:rPr>
        <w:t>Tiga skenario disiapkan dengan playbook konkret: (a) Year 1 Launch Failure—konsolidasi ke 3 kategori marketplace terkuat, cut marketing burn 40%, re-focus profitability per vertikal; (b) Regulatory Black Swan—activate Government Affairs crisis protocol, restructure via koperasi platform layer, worst-case divest vertikal terdampak; (c) Bank Tenant Mass Withdrawal—replace cepat dengan bank tier-2 dalam pipeline backup, boost universal wallet sebagai independent infrastructure.</w:t>
      </w:r>
    </w:p>
    <w:p w:rsidR="004059A3" w:rsidRPr="0072195D" w:rsidRDefault="00000000">
      <w:pPr>
        <w:spacing w:before="60" w:after="120" w:line="300" w:lineRule="auto"/>
        <w:jc w:val="both"/>
        <w:rPr>
          <w:rFonts w:ascii="Helvetica" w:hAnsi="Helvetica"/>
        </w:rPr>
      </w:pPr>
      <w:r w:rsidRPr="0072195D">
        <w:rPr>
          <w:rFonts w:ascii="Helvetica" w:hAnsi="Helvetica"/>
        </w:rPr>
        <w:t>Profil risk proyek ini secara keseluruhan adalah High but Manageable—sesuai dengan ambisi konsep, modal yang tersedia, dan disiplin governance yang direncanakan.</w:t>
      </w:r>
    </w:p>
    <w:p w:rsidR="004059A3" w:rsidRPr="0072195D" w:rsidRDefault="004059A3" w:rsidP="0072195D">
      <w:pPr>
        <w:rPr>
          <w:rFonts w:ascii="Helvetica" w:hAnsi="Helvetica"/>
        </w:rPr>
      </w:pPr>
    </w:p>
    <w:sectPr w:rsidR="004059A3" w:rsidRPr="007219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94164" w:rsidRDefault="00594164">
      <w:r>
        <w:separator/>
      </w:r>
    </w:p>
  </w:endnote>
  <w:endnote w:type="continuationSeparator" w:id="0">
    <w:p w:rsidR="00594164" w:rsidRDefault="00594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059A3" w:rsidRDefault="00000000">
    <w:pPr>
      <w:jc w:val="center"/>
    </w:pPr>
    <w:r>
      <w:rPr>
        <w:color w:val="808080"/>
        <w:sz w:val="18"/>
        <w:szCs w:val="18"/>
      </w:rPr>
      <w:t xml:space="preserve">Halaman </w:t>
    </w:r>
    <w:r>
      <w:rPr>
        <w:color w:val="808080"/>
        <w:sz w:val="18"/>
        <w:szCs w:val="18"/>
      </w:rPr>
      <w:fldChar w:fldCharType="begin"/>
    </w:r>
    <w:r>
      <w:rPr>
        <w:color w:val="808080"/>
        <w:sz w:val="18"/>
        <w:szCs w:val="18"/>
      </w:rPr>
      <w:instrText>PAGE</w:instrText>
    </w:r>
    <w:r>
      <w:rPr>
        <w:color w:val="808080"/>
        <w:sz w:val="18"/>
        <w:szCs w:val="18"/>
      </w:rPr>
      <w:fldChar w:fldCharType="separate"/>
    </w:r>
    <w:r w:rsidR="0072195D">
      <w:rPr>
        <w:noProof/>
        <w:color w:val="808080"/>
        <w:sz w:val="18"/>
        <w:szCs w:val="18"/>
      </w:rPr>
      <w:t>1</w:t>
    </w:r>
    <w:r>
      <w:rPr>
        <w:color w:val="808080"/>
        <w:sz w:val="18"/>
        <w:szCs w:val="18"/>
      </w:rPr>
      <w:fldChar w:fldCharType="end"/>
    </w:r>
    <w:r>
      <w:rPr>
        <w:color w:val="808080"/>
        <w:sz w:val="18"/>
        <w:szCs w:val="18"/>
      </w:rPr>
      <w:t xml:space="preserve"> · Strategic Concept Document · 13 Mei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94164" w:rsidRDefault="00594164">
      <w:r>
        <w:separator/>
      </w:r>
    </w:p>
  </w:footnote>
  <w:footnote w:type="continuationSeparator" w:id="0">
    <w:p w:rsidR="00594164" w:rsidRDefault="00594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059A3" w:rsidRDefault="00000000">
    <w:pPr>
      <w:jc w:val="right"/>
    </w:pPr>
    <w:r>
      <w:rPr>
        <w:i/>
        <w:iCs/>
        <w:color w:val="808080"/>
        <w:sz w:val="18"/>
        <w:szCs w:val="18"/>
      </w:rPr>
      <w:t>Executive Brief · [NAMA PRODUK]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60764"/>
    <w:multiLevelType w:val="hybridMultilevel"/>
    <w:tmpl w:val="510CA6F4"/>
    <w:lvl w:ilvl="0" w:tplc="4E301012">
      <w:start w:val="1"/>
      <w:numFmt w:val="bullet"/>
      <w:lvlText w:val="●"/>
      <w:lvlJc w:val="left"/>
      <w:pPr>
        <w:ind w:left="720" w:hanging="360"/>
      </w:pPr>
    </w:lvl>
    <w:lvl w:ilvl="1" w:tplc="E98E8A18">
      <w:start w:val="1"/>
      <w:numFmt w:val="bullet"/>
      <w:lvlText w:val="○"/>
      <w:lvlJc w:val="left"/>
      <w:pPr>
        <w:ind w:left="1440" w:hanging="360"/>
      </w:pPr>
    </w:lvl>
    <w:lvl w:ilvl="2" w:tplc="26E6D1C6">
      <w:start w:val="1"/>
      <w:numFmt w:val="bullet"/>
      <w:lvlText w:val="■"/>
      <w:lvlJc w:val="left"/>
      <w:pPr>
        <w:ind w:left="2160" w:hanging="360"/>
      </w:pPr>
    </w:lvl>
    <w:lvl w:ilvl="3" w:tplc="0F2A2620">
      <w:start w:val="1"/>
      <w:numFmt w:val="bullet"/>
      <w:lvlText w:val="●"/>
      <w:lvlJc w:val="left"/>
      <w:pPr>
        <w:ind w:left="2880" w:hanging="360"/>
      </w:pPr>
    </w:lvl>
    <w:lvl w:ilvl="4" w:tplc="201A0F22">
      <w:start w:val="1"/>
      <w:numFmt w:val="bullet"/>
      <w:lvlText w:val="○"/>
      <w:lvlJc w:val="left"/>
      <w:pPr>
        <w:ind w:left="3600" w:hanging="360"/>
      </w:pPr>
    </w:lvl>
    <w:lvl w:ilvl="5" w:tplc="F6968AC4">
      <w:start w:val="1"/>
      <w:numFmt w:val="bullet"/>
      <w:lvlText w:val="■"/>
      <w:lvlJc w:val="left"/>
      <w:pPr>
        <w:ind w:left="4320" w:hanging="360"/>
      </w:pPr>
    </w:lvl>
    <w:lvl w:ilvl="6" w:tplc="09CE6664">
      <w:start w:val="1"/>
      <w:numFmt w:val="bullet"/>
      <w:lvlText w:val="●"/>
      <w:lvlJc w:val="left"/>
      <w:pPr>
        <w:ind w:left="5040" w:hanging="360"/>
      </w:pPr>
    </w:lvl>
    <w:lvl w:ilvl="7" w:tplc="A5DA2FDE">
      <w:start w:val="1"/>
      <w:numFmt w:val="bullet"/>
      <w:lvlText w:val="●"/>
      <w:lvlJc w:val="left"/>
      <w:pPr>
        <w:ind w:left="5760" w:hanging="360"/>
      </w:pPr>
    </w:lvl>
    <w:lvl w:ilvl="8" w:tplc="D1C405A2">
      <w:start w:val="1"/>
      <w:numFmt w:val="bullet"/>
      <w:lvlText w:val="●"/>
      <w:lvlJc w:val="left"/>
      <w:pPr>
        <w:ind w:left="6480" w:hanging="360"/>
      </w:pPr>
    </w:lvl>
  </w:abstractNum>
  <w:abstractNum w:abstractNumId="1" w15:restartNumberingAfterBreak="0">
    <w:nsid w:val="5CD77830"/>
    <w:multiLevelType w:val="hybridMultilevel"/>
    <w:tmpl w:val="4D48147E"/>
    <w:lvl w:ilvl="0" w:tplc="66F64B2E">
      <w:start w:val="1"/>
      <w:numFmt w:val="bullet"/>
      <w:lvlText w:val="•"/>
      <w:lvlJc w:val="left"/>
      <w:pPr>
        <w:ind w:left="720" w:hanging="360"/>
      </w:pPr>
    </w:lvl>
    <w:lvl w:ilvl="1" w:tplc="AF20FCA4">
      <w:start w:val="1"/>
      <w:numFmt w:val="bullet"/>
      <w:lvlText w:val="○"/>
      <w:lvlJc w:val="left"/>
      <w:pPr>
        <w:ind w:left="1440" w:hanging="360"/>
      </w:pPr>
    </w:lvl>
    <w:lvl w:ilvl="2" w:tplc="DE54EB72">
      <w:numFmt w:val="decimal"/>
      <w:lvlText w:val=""/>
      <w:lvlJc w:val="left"/>
    </w:lvl>
    <w:lvl w:ilvl="3" w:tplc="280A679C">
      <w:numFmt w:val="decimal"/>
      <w:lvlText w:val=""/>
      <w:lvlJc w:val="left"/>
    </w:lvl>
    <w:lvl w:ilvl="4" w:tplc="30241D32">
      <w:numFmt w:val="decimal"/>
      <w:lvlText w:val=""/>
      <w:lvlJc w:val="left"/>
    </w:lvl>
    <w:lvl w:ilvl="5" w:tplc="8DD6ECA2">
      <w:numFmt w:val="decimal"/>
      <w:lvlText w:val=""/>
      <w:lvlJc w:val="left"/>
    </w:lvl>
    <w:lvl w:ilvl="6" w:tplc="A24E1B62">
      <w:numFmt w:val="decimal"/>
      <w:lvlText w:val=""/>
      <w:lvlJc w:val="left"/>
    </w:lvl>
    <w:lvl w:ilvl="7" w:tplc="E63C1CF8">
      <w:numFmt w:val="decimal"/>
      <w:lvlText w:val=""/>
      <w:lvlJc w:val="left"/>
    </w:lvl>
    <w:lvl w:ilvl="8" w:tplc="A942BB10">
      <w:numFmt w:val="decimal"/>
      <w:lvlText w:val=""/>
      <w:lvlJc w:val="left"/>
    </w:lvl>
  </w:abstractNum>
  <w:num w:numId="1" w16cid:durableId="780495331">
    <w:abstractNumId w:val="0"/>
    <w:lvlOverride w:ilvl="0">
      <w:startOverride w:val="1"/>
    </w:lvlOverride>
  </w:num>
  <w:num w:numId="2" w16cid:durableId="2068065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A3"/>
    <w:rsid w:val="001F49D3"/>
    <w:rsid w:val="00264074"/>
    <w:rsid w:val="004059A3"/>
    <w:rsid w:val="00594164"/>
    <w:rsid w:val="00721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1DD3100"/>
  <w15:docId w15:val="{7C5425FF-6C3E-A042-9BC7-54AD6E1C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1772</Words>
  <Characters>10105</Characters>
  <Application>Microsoft Office Word</Application>
  <DocSecurity>0</DocSecurity>
  <Lines>84</Lines>
  <Paragraphs>23</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 — [NAMA PRODUK]</dc:title>
  <dc:creator>Strategic Concept Document</dc:creator>
  <cp:lastModifiedBy>ka661</cp:lastModifiedBy>
  <cp:revision>2</cp:revision>
  <dcterms:created xsi:type="dcterms:W3CDTF">2026-05-13T13:29:00Z</dcterms:created>
  <dcterms:modified xsi:type="dcterms:W3CDTF">2026-05-13T13:29:00Z</dcterms:modified>
</cp:coreProperties>
</file>