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120"/>
        <w:jc w:val="center"/>
      </w:pPr>
      <w:r>
        <w:rPr>
          <w:b/>
          <w:bCs/>
          <w:color w:val="808080"/>
          <w:sz w:val="36"/>
          <w:szCs w:val="36"/>
        </w:rPr>
        <w:t xml:space="preserve">JIKA NU MENJADI</w:t>
      </w:r>
    </w:p>
    <w:p>
      <w:pPr>
        <w:spacing w:after="240" w:before="60"/>
        <w:jc w:val="center"/>
      </w:pPr>
      <w:r>
        <w:rPr>
          <w:b/>
          <w:bCs/>
          <w:color w:val="808080"/>
          <w:sz w:val="36"/>
          <w:szCs w:val="36"/>
        </w:rPr>
        <w:t xml:space="preserve">BAGIAN DARI</w:t>
      </w:r>
    </w:p>
    <w:p>
      <w:pPr>
        <w:spacing w:after="240" w:before="120"/>
        <w:jc w:val="center"/>
      </w:pPr>
      <w:r>
        <w:rPr>
          <w:b/>
          <w:bCs/>
          <w:color w:val="0E5E2F"/>
          <w:sz w:val="64"/>
          <w:szCs w:val="64"/>
        </w:rPr>
        <w:t xml:space="preserve">[NAMA PRODUK]</w:t>
      </w:r>
    </w:p>
    <w:p>
      <w:pPr>
        <w:spacing w:after="1400" w:before="120"/>
        <w:jc w:val="center"/>
      </w:pPr>
      <w:r>
        <w:rPr>
          <w:i/>
          <w:iCs/>
          <w:color w:val="606060"/>
          <w:sz w:val="24"/>
          <w:szCs w:val="24"/>
        </w:rPr>
        <w:t xml:space="preserve">Proyeksi Peran Nahdlatul Ulama sebagai Co-Founder dan Penggerak Ekosistem</w:t>
      </w:r>
    </w:p>
    <w:p>
      <w:pPr>
        <w:spacing w:after="40" w:before="60"/>
        <w:jc w:val="center"/>
      </w:pPr>
      <w:r>
        <w:rPr>
          <w:color w:val="404040"/>
          <w:sz w:val="22"/>
          <w:szCs w:val="22"/>
        </w:rPr>
        <w:t xml:space="preserve">Penjelasan tentang bagaimana NU akan terlibat di aplikasi ini sebagai</w:t>
      </w:r>
    </w:p>
    <w:p>
      <w:pPr>
        <w:spacing w:after="800" w:before="40"/>
        <w:jc w:val="center"/>
      </w:pPr>
      <w:r>
        <w:rPr>
          <w:color w:val="404040"/>
          <w:sz w:val="22"/>
          <w:szCs w:val="22"/>
        </w:rPr>
        <w:t xml:space="preserve">salah satu penyelenggara, lengkap dengan mode syariah yang co-existed.</w:t>
      </w:r>
    </w:p>
    <w:p>
      <w:pPr>
        <w:spacing w:after="240" w:before="60"/>
        <w:jc w:val="center"/>
      </w:pPr>
      <w:r>
        <w:rPr>
          <w:color w:val="808080"/>
          <w:sz w:val="20"/>
          <w:szCs w:val="20"/>
        </w:rPr>
        <w:t xml:space="preserve">Versi Draft 1.0 · 13 Mei 2026</w:t>
      </w:r>
    </w:p>
    <w:p>
      <w:r>
        <w:br w:type="page"/>
      </w:r>
    </w:p>
    <w:p>
      <w:pPr>
        <w:pStyle w:val="Heading1"/>
        <w:pBdr>
          <w:bottom w:val="single" w:color="0E5E2F" w:sz="8" w:space="4"/>
        </w:pBdr>
        <w:spacing w:after="200" w:before="400"/>
      </w:pPr>
      <w:r>
        <w:t xml:space="preserve">1. Apa Artinya NU Menjadi Bagian dari Aplikasi Ini</w:t>
      </w:r>
    </w:p>
    <w:p>
      <w:pPr>
        <w:spacing w:after="140" w:before="80" w:line="320"/>
        <w:jc w:val="both"/>
      </w:pPr>
      <w:r>
        <w:t xml:space="preserve">Nahdlatul Ulama akan terlibat di [NAMA PRODUK] sebagai salah satu co-founder dan penyelenggara strategis—bukan sebagai sponsor, bukan sebagai mitra promosi biasa, dan tidak dalam bentuk white-label. Aplikasi ini tetap satu produk dengan satu identitas, bukan dibuatkan versi terpisah bermerek NU.</w:t>
      </w:r>
    </w:p>
    <w:p>
      <w:pPr>
        <w:spacing w:after="140" w:before="80" w:line="320"/>
        <w:jc w:val="both"/>
      </w:pPr>
      <w:r>
        <w:t xml:space="preserve">Yang membedakan posisi NU dari mitra lain seperti bank tenant atau kantor pemerintah adalah kedalaman keterlibatannya. NU ikut dalam governance aplikasi melalui dewan syariah, ikut menyumbangkan modal sosial dan jaringan organisasional sebagai bagian dari komposisi pendiri, ikut menggerakkan ekosistem ekonomi nahdliyin masuk ke aplikasi, dan ikut mengisi konten edukasi dari kalangan praktisi pesantren dan akademisi NU. Sebagai imbalan, NU mendapat equity stake yang proporsional dengan kontribusinya, akses dashboard untuk memantau adopsi di kalangan umatnya, dan revenue share dari produk-produk yang relevan dengan misi NU.</w:t>
      </w:r>
    </w:p>
    <w:p>
      <w:pPr>
        <w:spacing w:after="140" w:before="80" w:line="320"/>
        <w:jc w:val="both"/>
      </w:pPr>
      <w:r>
        <w:t xml:space="preserve">Untuk menjaga aplikasi tetap inklusif dan tidak dipersepsi sebagai “aplikasi satu golongan”, organisasi Islam besar lain seperti Muhammadiyah juga akan diajak sebagai mitra setara di dewan syariah. Otoritas keagamaan resmi negara seperti DSN-MUI (Dewan Syariah Nasional Majelis Ulama Indonesia) menjadi rujukan formal untuk seluruh produk syariah aplikasi. Dengan begitu, kemitraan ini tidak menjadi keberpihakan, melainkan dukungan struktural dari pluralitas organisasi keislaman di Indonesia.</w:t>
      </w:r>
    </w:p>
    <w:p>
      <w:pPr>
        <w:spacing w:after="140" w:before="80" w:line="320"/>
        <w:jc w:val="both"/>
      </w:pPr>
      <w:r>
        <w:t xml:space="preserve">Untuk pengguna non-muslim, kehadiran NU tidak mengubah pengalaman mereka di aplikasi. Mode konvensional tetap tersedia di semua vertikal sebagai pilihan default. Mode syariah adalah pilihan opt-in yang aktif hanya jika pengguna memilihnya. Pluralisme dijaga dengan struktur, bukan hanya dengan retorika.</w:t>
      </w:r>
    </w:p>
    <w:p>
      <w:r>
        <w:br w:type="page"/>
      </w:r>
    </w:p>
    <w:p>
      <w:pPr>
        <w:pStyle w:val="Heading1"/>
        <w:pBdr>
          <w:bottom w:val="single" w:color="0E5E2F" w:sz="8" w:space="4"/>
        </w:pBdr>
        <w:spacing w:after="200" w:before="400"/>
      </w:pPr>
      <w:r>
        <w:t xml:space="preserve">2. Apa yang NU Bawa ke Meja</w:t>
      </w:r>
    </w:p>
    <w:p>
      <w:pPr>
        <w:spacing w:after="140" w:before="80" w:line="320"/>
        <w:jc w:val="both"/>
      </w:pPr>
      <w:r>
        <w:t xml:space="preserve">Nahdlatul Ulama bukan organisasi kecil. Berdiri sejak 31 Januari 1926 dan baru saja merayakan satu abad usia, NU mengklaim sekitar 60 juta anggota di Indonesia dan lebih dari 30 juta lainnya di seluruh dunia—menjadikannya organisasi Islam independen terbesar di dunia. Tapi yang lebih relevan untuk aplikasi ini bukan klaim jumlah, melainkan struktur dan asetnya yang nyata.</w:t>
      </w:r>
    </w:p>
    <w:p>
      <w:pPr>
        <w:pStyle w:val="Heading2"/>
        <w:spacing w:after="140" w:before="280"/>
      </w:pPr>
      <w:r>
        <w:t xml:space="preserve">Jaringan Struktural sampai Tingkat Dusun</w:t>
      </w:r>
    </w:p>
    <w:p>
      <w:pPr>
        <w:spacing w:after="140" w:before="80" w:line="320"/>
        <w:jc w:val="both"/>
      </w:pPr>
      <w:r>
        <w:t xml:space="preserve">NU punya struktur organisasi enam tingkat yang aktif beroperasi. Di tingkat pusat ada PBNU di Jakarta. Di tingkat provinsi ada PWNU. Di tingkat kabupaten/kota ada PCNU. Di luar negeri ada PCINU. Di tingkat kecamatan ada MWCNU. Di tingkat desa/kelurahan ada PRNU. Bahkan di tingkat dusun, kelompok masyarakat, masjid, atau mushola, ada PARNU. Struktur ini berarti NU punya kehadiran fisik dan kepengurusan formal di hampir setiap level administrasi Indonesia—sebuah jaringan distribusi yang tidak bisa dibangun aplikasi manapun dalam waktu singkat, berapapun modalnya.</w:t>
      </w:r>
    </w:p>
    <w:p>
      <w:pPr>
        <w:pStyle w:val="Heading2"/>
        <w:spacing w:after="140" w:before="280"/>
      </w:pPr>
      <w:r>
        <w:t xml:space="preserve">Pesantren sebagai Infrastruktur Fisik</w:t>
      </w:r>
    </w:p>
    <w:p>
      <w:pPr>
        <w:spacing w:after="140" w:before="80" w:line="320"/>
        <w:jc w:val="both"/>
      </w:pPr>
      <w:r>
        <w:t xml:space="preserve">Sekitar 28.000 pondok pesantren tersebar di Indonesia, dengan sekitar 44 persen di antaranya memiliki potensi agribisnis (pertanian, perkebunan, perikanan). Pesantren bukan hanya tempat belajar agama—ia adalah pusat komunitas, tempat tinggal santri, dapur, kebun, kandang, dan dalam banyak kasus, tempat usaha. Bagi aplikasi yang memiliki vertikal marketplace dan logistik, jaringan pesantren bisa berfungsi sebagai titik distribusi agribisnis, training center untuk onboarding UMKM nahdliyin, dan offline support point bagi pengguna yang akses digitalnya masih terbatas.</w:t>
      </w:r>
    </w:p>
    <w:p>
      <w:pPr>
        <w:pStyle w:val="Heading2"/>
        <w:spacing w:after="140" w:before="280"/>
      </w:pPr>
      <w:r>
        <w:t xml:space="preserve">Badan Otonom yang Spesifik per Segmen</w:t>
      </w:r>
    </w:p>
    <w:p>
      <w:pPr>
        <w:spacing w:after="140" w:before="80" w:line="320"/>
        <w:jc w:val="both"/>
      </w:pPr>
      <w:r>
        <w:t xml:space="preserve">NU memiliki badan otonom yang mengelompokkan anggotanya berdasarkan demografi dan profesi. Muslimat NU untuk perempuan dewasa. Fatayat NU untuk perempuan muda di bawah 40 tahun. GP Ansor untuk laki-laki muda di bawah 40 tahun. IPNU dan IPPNU untuk pelajar dan santri. Ada juga badan otonom berbasis profesi seperti ISNU (Ikatan Sarjana NU) dan PERGUNU (Persatuan Guru NU). Setiap badan otonom adalah segmen pasar tersendiri dengan kebutuhan ekonomi yang berbeda—Muslimat NU adalah segmen UMKM perempuan terbesar di Indonesia, Fatayat dan Ansor adalah segmen muda yang siap masuk ekonomi digital, IPNU/IPPNU adalah pipeline talenta masa depan.</w:t>
      </w:r>
    </w:p>
    <w:p>
      <w:pPr>
        <w:pStyle w:val="Heading2"/>
        <w:spacing w:after="140" w:before="280"/>
      </w:pPr>
      <w:r>
        <w:t xml:space="preserve">Inisiatif Digital yang Sudah Berjalan</w:t>
      </w:r>
    </w:p>
    <w:p>
      <w:pPr>
        <w:spacing w:after="140" w:before="80" w:line="320"/>
        <w:jc w:val="both"/>
      </w:pPr>
      <w:r>
        <w:t xml:space="preserve">NU bukan organisasi yang baru kenal teknologi. Sejak 2023, Lembaga Perekonomian NU (LPNU) telah meluncurkan program UMKM Meroket yang menargetkan transformasi UMKM nahdliyin ke ekonomi digital, bekerja sama dengan platform seperti GoTo. NU juga telah menjalankan inisiatif Kartu Santri dan WarNU Digital sebagai ekosistem keuangan syariah digital. Program iPesantren menjadi pilot di Universitas NU Cirebon dan 100 pesantren binaan. NUBIC (Nahdlatul Ulama Business Catalyst) bekerja sama dengan OJK untuk edukasi keuangan syariah di pesantren. Artinya, NU bukan pemain pasif yang baru akan belajar—mereka sudah punya jejak dan kebiasaan di ranah ini, hanya selama ini terpencar di banyak inisiatif kecil tanpa platform terpadu.</w:t>
      </w:r>
    </w:p>
    <w:p>
      <w:pPr>
        <w:pStyle w:val="Heading2"/>
        <w:spacing w:after="140" w:before="280"/>
      </w:pPr>
      <w:r>
        <w:t xml:space="preserve">Modal Sosial dan Legitimasi Moral</w:t>
      </w:r>
    </w:p>
    <w:p>
      <w:pPr>
        <w:spacing w:after="140" w:before="80" w:line="320"/>
        <w:jc w:val="both"/>
      </w:pPr>
      <w:r>
        <w:t xml:space="preserve">Yang paling sulit dinilai dengan uang adalah modal sosial. Bagi puluhan juta nahdliyin, pesan dari kiai dan tokoh NU memiliki bobot yang tidak bisa dibeli dengan iklan. Ketika seorang kiai di Jombang berkata kepada jamaahnya bahwa aplikasi ini aman untuk dipakai dan sesuai prinsip ekonomi syariah, kepercayaan itu mengalir dengan cara yang tidak bisa direplikasi platform manapun melalui media sosial atau influencer komersial. Inilah yang dimaksud dengan NU sebagai “penggerak”—bukan sebagai pemilik produk, tetapi sebagai pihak yang membantu masyarakat memahami dan mempercayai produk.</w:t>
      </w:r>
    </w:p>
    <w:p>
      <w:r>
        <w:br w:type="page"/>
      </w:r>
    </w:p>
    <w:p>
      <w:pPr>
        <w:pStyle w:val="Heading1"/>
        <w:pBdr>
          <w:bottom w:val="single" w:color="0E5E2F" w:sz="8" w:space="4"/>
        </w:pBdr>
        <w:spacing w:after="200" w:before="400"/>
      </w:pPr>
      <w:r>
        <w:t xml:space="preserve">3. Apa yang Aplikasi Bawa untuk NU</w:t>
      </w:r>
    </w:p>
    <w:p>
      <w:pPr>
        <w:spacing w:after="140" w:before="80" w:line="320"/>
        <w:jc w:val="both"/>
      </w:pPr>
      <w:r>
        <w:t xml:space="preserve">Kemitraan ini tidak akan adil jika hanya NU yang memberi. Aplikasi membawa sejumlah hal yang selama ini menjadi celah dalam upaya pemberdayaan ekonomi nahdliyin.</w:t>
      </w:r>
    </w:p>
    <w:p>
      <w:pPr>
        <w:pStyle w:val="Heading2"/>
        <w:spacing w:after="140" w:before="280"/>
      </w:pPr>
      <w:r>
        <w:t xml:space="preserve">Platform Terpadu yang Selama Ini Tidak Ada</w:t>
      </w:r>
    </w:p>
    <w:p>
      <w:pPr>
        <w:spacing w:after="140" w:before="80" w:line="320"/>
        <w:jc w:val="both"/>
      </w:pPr>
      <w:r>
        <w:t xml:space="preserve">Inisiatif ekonomi digital NU selama ini berserak. Ada UMKM Meroket, ada WarNU, ada Kartu Santri, ada iPesantren, ada NUBIC. Masing-masing punya jangkauan tertentu tapi tidak terintegrasi. Aplikasi ini menyediakan satu platform terpadu yang menyatukan marketplace, perbankan, edukasi, dan investasi dalam satu pintu—sehingga ketika NU mengajak nahdliyin masuk ekonomi digital, tidak perlu lagi mengarahkan mereka ke lima aplikasi berbeda. Cukup satu.</w:t>
      </w:r>
    </w:p>
    <w:p>
      <w:pPr>
        <w:pStyle w:val="Heading2"/>
        <w:spacing w:after="140" w:before="280"/>
      </w:pPr>
      <w:r>
        <w:t xml:space="preserve">Akses Pasar di Luar Jaringan Nahdliyin</w:t>
      </w:r>
    </w:p>
    <w:p>
      <w:pPr>
        <w:spacing w:after="140" w:before="80" w:line="320"/>
        <w:jc w:val="both"/>
      </w:pPr>
      <w:r>
        <w:t xml:space="preserve">Selama ini, UMKM nahdliyin yang berjualan lewat program NU sebagian besar masih dalam lingkaran sesama nahdliyin. Aplikasi ini membuka akses ke pasar yang jauh lebih luas—mencakup masyarakat umum Indonesia, korporat besar yang mencari produk lokal, bahkan ekspansi ke ASEAN di tahun keempat. UMKM nahdliyin tidak lagi terjebak menjual hanya kepada komunitas terdekat.</w:t>
      </w:r>
    </w:p>
    <w:p>
      <w:pPr>
        <w:pStyle w:val="Heading2"/>
        <w:spacing w:after="140" w:before="280"/>
      </w:pPr>
      <w:r>
        <w:t xml:space="preserve">Akses Modal Lewat Bank dan Lembaga Keuangan Syariah</w:t>
      </w:r>
    </w:p>
    <w:p>
      <w:pPr>
        <w:spacing w:after="140" w:before="80" w:line="320"/>
        <w:jc w:val="both"/>
      </w:pPr>
      <w:r>
        <w:t xml:space="preserve">Salah satu kendala terbesar UMKM kecil adalah akses modal. Di dalam aplikasi, bank syariah besar seperti Bank Syariah Indonesia (BSI), Bank Muamalat, dan lembaga zakat seperti Baznas serta LazisNU sendiri membuka lapak digital. UMKM nahdliyin bisa mengajukan pembiayaan syariah (murabahah, ijarah, musyarakah) langsung dari aplikasi, tanpa perlu pergi ke kantor cabang yang mungkin jauh dari pesantren atau desa mereka.</w:t>
      </w:r>
    </w:p>
    <w:p>
      <w:pPr>
        <w:pStyle w:val="Heading2"/>
        <w:spacing w:after="140" w:before="280"/>
      </w:pPr>
      <w:r>
        <w:t xml:space="preserve">Edukasi Massal yang Skalabel</w:t>
      </w:r>
    </w:p>
    <w:p>
      <w:pPr>
        <w:spacing w:after="140" w:before="80" w:line="320"/>
        <w:jc w:val="both"/>
      </w:pPr>
      <w:r>
        <w:t xml:space="preserve">Kanal edukasi aplikasi memungkinkan pengasuh pesantren, kiai praktisi bisnis, dan akademisi dari universitas-universitas NU (seperti UNU Yogyakarta, UNU Jakarta, UNU Cirebon, dan jaringan IAINU/STAINU) untuk mengajar masterclass dengan jangkauan yang jauh lebih luas dari yang bisa dilakukan secara fisik. Materi tentang ekonomi syariah, fiqih muamalah, manajemen pesantren digital, dan kewirausahaan halal bisa dijangkau santri dan nahdliyin di seluruh Indonesia bahkan dunia.</w:t>
      </w:r>
    </w:p>
    <w:p>
      <w:pPr>
        <w:pStyle w:val="Heading2"/>
        <w:spacing w:after="140" w:before="280"/>
      </w:pPr>
      <w:r>
        <w:t xml:space="preserve">Imbal Finansial Langsung</w:t>
      </w:r>
    </w:p>
    <w:p>
      <w:pPr>
        <w:spacing w:after="140" w:before="80" w:line="320"/>
        <w:jc w:val="both"/>
      </w:pPr>
      <w:r>
        <w:t xml:space="preserve">Sebagai co-founder, NU mendapat equity stake yang dihitung berdasarkan kontribusi modal sosial dan jaringan yang dibawanya. NU juga mendapat revenue share dari produk-produk syariah aplikasi—setiap transaksi di mode syariah memberikan kontribusi finansial kepada NU yang dapat digunakan untuk membiayai program-program organisasi. Kemitraan ini berarti NU memiliki sumber pendapatan baru yang sustainable di luar iuran anggota dan donasi tradisional, dan ini bersifat halal serta berasal dari aktivitas ekonomi produktif.</w:t>
      </w:r>
    </w:p>
    <w:p>
      <w:r>
        <w:br w:type="page"/>
      </w:r>
    </w:p>
    <w:p>
      <w:pPr>
        <w:pStyle w:val="Heading1"/>
        <w:pBdr>
          <w:bottom w:val="single" w:color="0E5E2F" w:sz="8" w:space="4"/>
        </w:pBdr>
        <w:spacing w:after="200" w:before="400"/>
      </w:pPr>
      <w:r>
        <w:t xml:space="preserve">4. Bagaimana Kerja Samanya Berjalan</w:t>
      </w:r>
    </w:p>
    <w:p>
      <w:pPr>
        <w:pStyle w:val="Heading2"/>
        <w:spacing w:after="140" w:before="280"/>
      </w:pPr>
      <w:r>
        <w:t xml:space="preserve">Struktur Kemitraan</w:t>
      </w:r>
    </w:p>
    <w:p>
      <w:pPr>
        <w:spacing w:after="140" w:before="80" w:line="320"/>
        <w:jc w:val="both"/>
      </w:pPr>
      <w:r>
        <w:t xml:space="preserve">NU dilibatkan dalam tiga lapis kemitraan formal. Pertama, sebagai pemegang saham minoritas di entitas operasional Indonesia, dengan equity stake yang disetujui di tahap pembentukan perusahaan. Persentase persisnya menjadi materi negosiasi, tetapi dirancang cukup signifikan untuk memberikan NU governance rights tetapi tidak sebesar yang membuat aplikasi terkesan dimiliki NU. Kedua, sebagai anggota tetap Dewan Syariah aplikasi, yang dijelaskan di bagian berikutnya. Ketiga, sebagai partner program melalui Lembaga Perekonomian NU (LPNU) untuk eksekusi program pemberdayaan ekonomi nahdliyin di dalam aplikasi.</w:t>
      </w:r>
    </w:p>
    <w:p>
      <w:pPr>
        <w:spacing w:after="140" w:before="80" w:line="320"/>
        <w:jc w:val="both"/>
      </w:pPr>
      <w:r>
        <w:t xml:space="preserve">Muhammadiyah, sebagai organisasi Islam terbesar kedua di Indonesia, diundang dengan skema serupa namun dalam komposisi yang menjaga keseimbangan—posisi yang setara di Dewan Syariah, dengan struktur kemitraan yang disesuaikan dengan struktur dan budaya organisasi Muhammadiyah.</w:t>
      </w:r>
    </w:p>
    <w:p>
      <w:pPr>
        <w:pStyle w:val="Heading2"/>
        <w:spacing w:after="140" w:before="280"/>
      </w:pPr>
      <w:r>
        <w:t xml:space="preserve">Dewan Syariah [NAMA PRODUK]</w:t>
      </w:r>
    </w:p>
    <w:p>
      <w:pPr>
        <w:spacing w:after="140" w:before="80" w:line="320"/>
        <w:jc w:val="both"/>
      </w:pPr>
      <w:r>
        <w:t xml:space="preserve">Dewan Syariah adalah lembaga independen di dalam struktur aplikasi yang bertanggung jawab atas seluruh produk dan layanan yang masuk mode syariah. Komposisinya:</w:t>
      </w:r>
    </w:p>
    <w:p>
      <w:pPr>
        <w:spacing w:after="140" w:before="80" w:line="320"/>
        <w:jc w:val="both"/>
      </w:pPr>
      <w:r>
        <w:t xml:space="preserve">Perwakilan DSN-MUI sebagai otoritas resmi syariah negara—keputusan dan fatwa formal mengikuti standar yang ditetapkan oleh DSN-MUI. Perwakilan PBNU melalui Lembaga Bahtsul Masail (LBM NU) untuk fatwa fiqih kontemporer dan LPNU untuk aspek ekonomi syariah praktis. Perwakilan Pimpinan Pusat Muhammadiyah melalui Majelis Tarjih dan Tajdid untuk perspektif komplementer. Ahli ekonomi syariah independen dari akademisi (UI, UGM, UIN, universitas Islam) yang tidak berafiliasi langsung dengan organisasi keagamaan tertentu. Auditor syariah bersertifikat untuk verifikasi kepatuhan operasional.</w:t>
      </w:r>
    </w:p>
    <w:p>
      <w:pPr>
        <w:spacing w:after="140" w:before="80" w:line="320"/>
        <w:jc w:val="both"/>
      </w:pPr>
      <w:r>
        <w:t xml:space="preserve">Tugas Dewan Syariah meliputi sertifikasi produk-produk yang masuk ke mode syariah, review fitur baru sebelum diluncurkan ke mode syariah, audit syariah tahunan, dan mediasi jika ada perselisihan terkait kesyariahan produk tertentu.</w:t>
      </w:r>
    </w:p>
    <w:p>
      <w:pPr>
        <w:pStyle w:val="Heading2"/>
        <w:spacing w:after="140" w:before="280"/>
      </w:pPr>
      <w:r>
        <w:t xml:space="preserve">Peran Lembaga Perekonomian NU sebagai Partner Eksekusi</w:t>
      </w:r>
    </w:p>
    <w:p>
      <w:pPr>
        <w:spacing w:after="140" w:before="80" w:line="320"/>
        <w:jc w:val="both"/>
      </w:pPr>
      <w:r>
        <w:t xml:space="preserve">LPNU menjadi mitra eksekusi untuk program-program yang menyasar nahdliyin. Mereka membantu onboarding UMKM nahdliyin masuk aplikasi, menyusun kurikulum edukasi ekonomi syariah bekerja sama dengan tim konten aplikasi, mengidentifikasi pengasuh pesantren dan kiai praktisi yang potensial menjadi pengajar, dan menggerakkan struktur PWNU/PCNU di daerah untuk sosialisasi aplikasi kepada anggota.</w:t>
      </w:r>
    </w:p>
    <w:p>
      <w:pPr>
        <w:pStyle w:val="Heading2"/>
        <w:spacing w:after="140" w:before="280"/>
      </w:pPr>
      <w:r>
        <w:t xml:space="preserve">Distribusi Lewat Struktur NU</w:t>
      </w:r>
    </w:p>
    <w:p>
      <w:pPr>
        <w:spacing w:after="140" w:before="80" w:line="320"/>
        <w:jc w:val="both"/>
      </w:pPr>
      <w:r>
        <w:t xml:space="preserve">Salah satu keunikan kemitraan ini adalah pemanfaatan struktur enam tingkat NU untuk distribusi dan onboarding. PCNU di tiap kabupaten/kota menjadi titik koordinasi sosialisasi. Pesantren binaan menjadi training center untuk UMKM yang baru masuk ekonomi digital. PRNU dan PARNU di tingkat desa dan dusun menjadi offline touchpoint untuk pengguna yang membutuhkan bantuan teknis dasar. Ini berbeda dengan model marketing konvensional yang hanya bergantung pada iklan digital—di sini ada kehadiran manusia di komunitas lokal yang membantu transisi digital.</w:t>
      </w:r>
    </w:p>
    <w:p>
      <w:r>
        <w:br w:type="page"/>
      </w:r>
    </w:p>
    <w:p>
      <w:pPr>
        <w:pStyle w:val="Heading1"/>
        <w:pBdr>
          <w:bottom w:val="single" w:color="0E5E2F" w:sz="8" w:space="4"/>
        </w:pBdr>
        <w:spacing w:after="200" w:before="400"/>
      </w:pPr>
      <w:r>
        <w:t xml:space="preserve">5. Manfaat Konkret untuk Warga Nahdliyin</w:t>
      </w:r>
    </w:p>
    <w:p>
      <w:pPr>
        <w:spacing w:after="140" w:before="80" w:line="320"/>
        <w:jc w:val="both"/>
      </w:pPr>
      <w:r>
        <w:t xml:space="preserve">Berikut beberapa skenario konkret tentang bagaimana keterlibatan NU mengubah pengalaman ekonomi nahdliyin dalam berbagai posisi sosialnya.</w:t>
      </w:r>
    </w:p>
    <w:p>
      <w:pPr>
        <w:pStyle w:val="Heading2"/>
        <w:spacing w:after="140" w:before="280"/>
      </w:pPr>
      <w:r>
        <w:t xml:space="preserve">Pesantren Tradisional yang Punya Potensi Agribisnis</w:t>
      </w:r>
    </w:p>
    <w:p>
      <w:pPr>
        <w:spacing w:after="140" w:before="80" w:line="320"/>
        <w:jc w:val="both"/>
      </w:pPr>
      <w:r>
        <w:t xml:space="preserve">Sebuah pesantren di Jawa Timur memiliki kebun kopi seluas dua hektar dan kandang sapi perah. Selama ini hasil kebun dan susu dijual ke tengkulak setempat dengan harga rendah, sebagian dikonsumsi internal pesantren. Setelah pesantren mendaftar di [NAMA PRODUK] sebagai penjual UMKM, mereka bisa langsung menjual kopi sangrai bermerek pesantren ke pasar nasional dan susu dalam bentuk olahan ke kafe-kafe di kota besar. Sertifikasi halal dan label “produk pesantren” yang dikurasi oleh Dewan Syariah memberi nilai tambah harga. Pesantren mendapat margin lebih besar tanpa harus bergantung pada tengkulak.</w:t>
      </w:r>
    </w:p>
    <w:p>
      <w:pPr>
        <w:pStyle w:val="Heading2"/>
        <w:spacing w:after="140" w:before="280"/>
      </w:pPr>
      <w:r>
        <w:t xml:space="preserve">UMKM Perempuan dari Muslimat NU</w:t>
      </w:r>
    </w:p>
    <w:p>
      <w:pPr>
        <w:spacing w:after="140" w:before="80" w:line="320"/>
        <w:jc w:val="both"/>
      </w:pPr>
      <w:r>
        <w:t xml:space="preserve">Seorang ibu di Surabaya yang menjual kue kering tradisional dari rumah selama ini hanya melayani tetangga dan pesanan acara. Lewat program kemitraan Muslimat NU dengan [NAMA PRODUK], dia mendapat pelatihan packaging, fotografi produk, dan digital marketing—dilakukan langsung di kantor PCNU kotanya. Setelah onboarding, kue keringnya menjangkau pembeli di Jakarta, Bandung, dan Medan. Untuk modal beli oven baru, dia mengajukan pembiayaan murabahah ke Bank Syariah Indonesia langsung dari aplikasi, tanpa perlu datang ke kantor cabang.</w:t>
      </w:r>
    </w:p>
    <w:p>
      <w:pPr>
        <w:pStyle w:val="Heading2"/>
        <w:spacing w:after="140" w:before="280"/>
      </w:pPr>
      <w:r>
        <w:t xml:space="preserve">Santri Muda yang Ingin Belajar Bisnis</w:t>
      </w:r>
    </w:p>
    <w:p>
      <w:pPr>
        <w:spacing w:after="140" w:before="80" w:line="320"/>
        <w:jc w:val="both"/>
      </w:pPr>
      <w:r>
        <w:t xml:space="preserve">Seorang santri di Lirboyo yang akan lulus tahun depan ingin meneruskan bisnis kecil orang tuanya yang mulai pikun. Dia mendaftar di kanal edukasi aplikasi, mengikuti kelas “Manajemen Bisnis Keluarga Perspektif Pesantren” yang diajar Gus pengasuh yang juga punya jaringan usaha sendiri. Setelah lulus, dia mendapat sertifikat dari aplikasi yang dilengkapi nama institusi UNU Yogyakarta dan BNSP—diakui di pasar kerja maupun untuk memulai usaha sendiri.</w:t>
      </w:r>
    </w:p>
    <w:p>
      <w:pPr>
        <w:pStyle w:val="Heading2"/>
        <w:spacing w:after="140" w:before="280"/>
      </w:pPr>
      <w:r>
        <w:t xml:space="preserve">Pengasuh Pesantren yang Punya Pengalaman Bisnis</w:t>
      </w:r>
    </w:p>
    <w:p>
      <w:pPr>
        <w:spacing w:after="140" w:before="80" w:line="320"/>
        <w:jc w:val="both"/>
      </w:pPr>
      <w:r>
        <w:t xml:space="preserve">Seorang Gus di Cirebon yang selain mengasuh pesantren juga punya usaha distribusi makanan halal selama puluhan tahun. Selama ini ilmunya hanya diturunkan ke santri dekat. Di [NAMA PRODUK], dia membuka masterclass tentang “Distribusi Produk Halal di Pasar Modern”—dihadiri ribuan peserta dari berbagai pesantren dan UMKM di Indonesia. Pendapatan dari masterclass menjadi tambahan untuk operasional pesantren, dan ilmunya bertahan lebih lama karena tersimpan dalam bentuk modul yang bisa diakses kembali.</w:t>
      </w:r>
    </w:p>
    <w:p>
      <w:pPr>
        <w:pStyle w:val="Heading2"/>
        <w:spacing w:after="140" w:before="280"/>
      </w:pPr>
      <w:r>
        <w:t xml:space="preserve">Pengelola Lazisnu di Cabang Daerah</w:t>
      </w:r>
    </w:p>
    <w:p>
      <w:pPr>
        <w:spacing w:after="140" w:before="80" w:line="320"/>
        <w:jc w:val="both"/>
      </w:pPr>
      <w:r>
        <w:t xml:space="preserve">Pengurus Lembaga Amil Zakat Infaq dan Shodaqoh NU (LazisNU) di sebuah kabupaten selama ini mengandalkan pengumpulan zakat manual—amil keliling, kotak masjid, transfer bank. Di [NAMA PRODUK], LazisNU membuka lapak digital seperti bank tenant dan kantor pemerintah. Pengguna mode syariah bisa otomatis menyalurkan zakat penghasilan dari saldo dompet aplikasi ke LazisNU dengan satu kali setting, dengan laporan transparan ke mana zakat tersebut disalurkan.</w:t>
      </w:r>
    </w:p>
    <w:p>
      <w:pPr>
        <w:pStyle w:val="Heading2"/>
        <w:spacing w:after="140" w:before="280"/>
      </w:pPr>
      <w:r>
        <w:t xml:space="preserve">Nahdliyin di Luar Negeri</w:t>
      </w:r>
    </w:p>
    <w:p>
      <w:pPr>
        <w:spacing w:after="140" w:before="80" w:line="320"/>
        <w:jc w:val="both"/>
      </w:pPr>
      <w:r>
        <w:t xml:space="preserve">PCINU (Pengurus Cabang Istimewa NU di luar negeri) memiliki anggota di puluhan negara—diaspora Indonesia yang bekerja, kuliah, atau menetap di Singapura, Malaysia, Belanda, Inggris, Amerika, Timur Tengah, dan lain-lain. Di tahun keempat ekspansi aplikasi, mereka bisa membeli produk UMKM nahdliyin dari Indonesia, ikut masterclass bisnis berbahasa Indonesia, dan tetap terhubung dengan ekosistem ekonomi tanah air—dalam mode syariah yang sesuai dengan keyakinan mereka.</w:t>
      </w:r>
    </w:p>
    <w:p>
      <w:r>
        <w:br w:type="page"/>
      </w:r>
    </w:p>
    <w:p>
      <w:pPr>
        <w:pStyle w:val="Heading1"/>
        <w:pBdr>
          <w:bottom w:val="single" w:color="0E5E2F" w:sz="8" w:space="4"/>
        </w:pBdr>
        <w:spacing w:after="200" w:before="400"/>
      </w:pPr>
      <w:r>
        <w:t xml:space="preserve">6. Manfaat untuk Aplikasi dan Pengguna di Luar NU</w:t>
      </w:r>
    </w:p>
    <w:p>
      <w:pPr>
        <w:spacing w:after="140" w:before="80" w:line="320"/>
        <w:jc w:val="both"/>
      </w:pPr>
      <w:r>
        <w:t xml:space="preserve">Pertanyaan yang sah muncul di sini: kalau NU dilibatkan begitu dalam, apakah aplikasi ini tetap relevan untuk pengguna di luar NU—non-muslim, muslim non-NU, atau muslim yang tidak peduli dengan organisasi keagamaan? Jawabannya: ya, dan keterlibatan NU justru membuat aplikasi lebih kuat untuk semua, bukan lebih sempit.</w:t>
      </w:r>
    </w:p>
    <w:p>
      <w:pPr>
        <w:pStyle w:val="Heading2"/>
        <w:spacing w:after="140" w:before="280"/>
      </w:pPr>
      <w:r>
        <w:t xml:space="preserve">Pasar yang Lebih Besar Lewat Adopsi yang Lebih Cepat</w:t>
      </w:r>
    </w:p>
    <w:p>
      <w:pPr>
        <w:spacing w:after="140" w:before="80" w:line="320"/>
        <w:jc w:val="both"/>
      </w:pPr>
      <w:r>
        <w:t xml:space="preserve">Modal sosial NU mempercepat adopsi aplikasi di kalangan puluhan juta nahdliyin. Adopsi cepat berarti aplikasi mencapai critical mass lebih cepat, yang berarti pengalaman semua pengguna—termasuk non-nahdliyin—menjadi lebih baik: lebih banyak penjual, lebih banyak produk, lebih banyak likuiditas, lebih banyak data untuk rekomendasi yang akurat. Pengguna non-nahdliyin diuntungkan tanpa harus berurusan dengan NU.</w:t>
      </w:r>
    </w:p>
    <w:p>
      <w:pPr>
        <w:pStyle w:val="Heading2"/>
        <w:spacing w:after="140" w:before="280"/>
      </w:pPr>
      <w:r>
        <w:t xml:space="preserve">Mode Syariah sebagai Pilihan, Bukan Default</w:t>
      </w:r>
    </w:p>
    <w:p>
      <w:pPr>
        <w:spacing w:after="140" w:before="80" w:line="320"/>
        <w:jc w:val="both"/>
      </w:pPr>
      <w:r>
        <w:t xml:space="preserve">Mode konvensional tetap aktif sebagai default untuk semua pengguna. Pengguna non-muslim, atau muslim yang lebih nyaman dengan instrumen konvensional, tidak perlu mengaktifkan mode syariah. Mereka berbelanja, berinvestasi, dan menggunakan layanan persis seperti di marketplace konvensional manapun, tanpa filter agama yang mengganggu. Jika seorang non-muslim ingin membeli kerajinan dari pesantren karena kualitas dan harganya bagus, tidak ada batas yang menghalangi—pesantren menjual ke pasar terbuka, bukan hanya ke sesama muslim.</w:t>
      </w:r>
    </w:p>
    <w:p>
      <w:pPr>
        <w:pStyle w:val="Heading2"/>
        <w:spacing w:after="140" w:before="280"/>
      </w:pPr>
      <w:r>
        <w:t xml:space="preserve">Standar Kualitas yang Tidak Hanya Berlaku untuk Syariah</w:t>
      </w:r>
    </w:p>
    <w:p>
      <w:pPr>
        <w:spacing w:after="140" w:before="80" w:line="320"/>
        <w:jc w:val="both"/>
      </w:pPr>
      <w:r>
        <w:t xml:space="preserve">Dewan Syariah mengurus produk di mode syariah, tetapi banyak standar yang mereka tetapkan—transparansi sumber, kejelasan deskripsi produk, larangan praktik bisnis menipu—relevan dan diterapkan juga untuk mode konvensional. Pengguna mode konvensional mendapat manfaat dari budaya kualitas yang dibangun aplikasi karena ada bagian besar penggunanya yang menuntut standar syariah.</w:t>
      </w:r>
    </w:p>
    <w:p>
      <w:pPr>
        <w:pStyle w:val="Heading2"/>
        <w:spacing w:after="140" w:before="280"/>
      </w:pPr>
      <w:r>
        <w:t xml:space="preserve">Pluralisme yang Terjaga Lewat Struktur</w:t>
      </w:r>
    </w:p>
    <w:p>
      <w:pPr>
        <w:spacing w:after="140" w:before="80" w:line="320"/>
        <w:jc w:val="both"/>
      </w:pPr>
      <w:r>
        <w:t xml:space="preserve">Karena Muhammadiyah, DSN-MUI, dan ahli independen juga ada di Dewan Syariah, tidak ada satu tafsir yang mendominasi. Sertifikasi syariah aplikasi mengikuti standar nasional resmi (DSN-MUI), bukan mazhab atau aliran spesifik. Pengguna non-muslim mendapat jaminan bahwa aplikasi tidak menjadi instrumen satu kelompok agama untuk memaksakan nilai-nilainya kepada yang lain.</w:t>
      </w:r>
    </w:p>
    <w:p>
      <w:pPr>
        <w:pStyle w:val="Heading2"/>
        <w:spacing w:after="140" w:before="280"/>
      </w:pPr>
      <w:r>
        <w:t xml:space="preserve">Diferensiasi Kompetitif yang Sulit Ditiru</w:t>
      </w:r>
    </w:p>
    <w:p>
      <w:pPr>
        <w:spacing w:after="140" w:before="80" w:line="320"/>
        <w:jc w:val="both"/>
      </w:pPr>
      <w:r>
        <w:t xml:space="preserve">Bagi audiens investor dan strategic partner, keberhasilan menggandeng NU dan Muhammadiyah sebagai co-founder adalah diferensiasi yang sangat sulit ditiru kompetitor. Kompetitor existing (Tokopedia, Shopee, TikTok Shop) tidak punya hubungan setingkat ini dengan organisasi keagamaan—dan akan sangat sulit membangunnya secara organik dalam waktu singkat. Bagi pengguna umum, ini berarti aplikasi yang mereka pakai memiliki landasan trust yang lebih dalam daripada kompetitor.</w:t>
      </w:r>
    </w:p>
    <w:p>
      <w:r>
        <w:br w:type="page"/>
      </w:r>
    </w:p>
    <w:p>
      <w:pPr>
        <w:pStyle w:val="Heading1"/>
        <w:pBdr>
          <w:bottom w:val="single" w:color="0E5E2F" w:sz="8" w:space="4"/>
        </w:pBdr>
        <w:spacing w:after="200" w:before="400"/>
      </w:pPr>
      <w:r>
        <w:t xml:space="preserve">7. Arsitektur Mode Syariah di Setiap Vertikal</w:t>
      </w:r>
    </w:p>
    <w:p>
      <w:pPr>
        <w:spacing w:after="140" w:before="80" w:line="320"/>
        <w:jc w:val="both"/>
      </w:pPr>
      <w:r>
        <w:t xml:space="preserve">Mode syariah bekerja sebagai opt-in toggle di setiap vertikal yang relevan. Pengguna yang mengaktifkannya akan melihat produk, instrumen, dan akad yang sudah disertifikasi syariah-compliant oleh Dewan Syariah aplikasi. Pengguna yang tidak mengaktifkannya tetap di mode konvensional default. Tabel berikut menjelaskan apa yang berbeda di setiap vertikal.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0E5E2F" w:val="clear"/>
            <w:tcMar>
              <w:top w:type="dxa" w:w="100"/>
              <w:left w:type="dxa" w:w="140"/>
              <w:bottom w:type="dxa" w:w="100"/>
              <w:right w:type="dxa" w:w="140"/>
            </w:tcMar>
            <w:vAlign w:val="center"/>
          </w:tcPr>
          <w:p>
            <w:pPr>
              <w:spacing w:after="20" w:before="20" w:line="280"/>
            </w:pPr>
            <w:r>
              <w:rPr>
                <w:b/>
                <w:bCs/>
                <w:color w:val="FFFFFF"/>
                <w:sz w:val="20"/>
                <w:szCs w:val="20"/>
              </w:rPr>
              <w:t xml:space="preserve">Vertikal</w:t>
            </w:r>
          </w:p>
        </w:tc>
        <w:tc>
          <w:tcPr>
            <w:tcW w:type="dxa" w:w="3500"/>
            <w:tcBorders>
              <w:top w:val="single" w:color="CCCCCC" w:sz="4"/>
              <w:left w:val="single" w:color="CCCCCC" w:sz="4"/>
              <w:bottom w:val="single" w:color="CCCCCC" w:sz="4"/>
              <w:right w:val="single" w:color="CCCCCC" w:sz="4"/>
            </w:tcBorders>
            <w:shd w:fill="0E5E2F" w:val="clear"/>
            <w:tcMar>
              <w:top w:type="dxa" w:w="100"/>
              <w:left w:type="dxa" w:w="140"/>
              <w:bottom w:type="dxa" w:w="100"/>
              <w:right w:type="dxa" w:w="140"/>
            </w:tcMar>
            <w:vAlign w:val="center"/>
          </w:tcPr>
          <w:p>
            <w:pPr>
              <w:spacing w:after="20" w:before="20" w:line="280"/>
            </w:pPr>
            <w:r>
              <w:rPr>
                <w:b/>
                <w:bCs/>
                <w:color w:val="FFFFFF"/>
                <w:sz w:val="20"/>
                <w:szCs w:val="20"/>
              </w:rPr>
              <w:t xml:space="preserve">Mode Konvensional</w:t>
            </w:r>
          </w:p>
        </w:tc>
        <w:tc>
          <w:tcPr>
            <w:tcW w:type="dxa" w:w="3660"/>
            <w:tcBorders>
              <w:top w:val="single" w:color="CCCCCC" w:sz="4"/>
              <w:left w:val="single" w:color="CCCCCC" w:sz="4"/>
              <w:bottom w:val="single" w:color="CCCCCC" w:sz="4"/>
              <w:right w:val="single" w:color="CCCCCC" w:sz="4"/>
            </w:tcBorders>
            <w:shd w:fill="0E5E2F" w:val="clear"/>
            <w:tcMar>
              <w:top w:type="dxa" w:w="100"/>
              <w:left w:type="dxa" w:w="140"/>
              <w:bottom w:type="dxa" w:w="100"/>
              <w:right w:type="dxa" w:w="140"/>
            </w:tcMar>
            <w:vAlign w:val="center"/>
          </w:tcPr>
          <w:p>
            <w:pPr>
              <w:spacing w:after="20" w:before="20" w:line="280"/>
            </w:pPr>
            <w:r>
              <w:rPr>
                <w:b/>
                <w:bCs/>
                <w:color w:val="FFFFFF"/>
                <w:sz w:val="20"/>
                <w:szCs w:val="20"/>
              </w:rPr>
              <w:t xml:space="preserve">Mode Syariah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Marketplace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Semua produk halal dan non-halal tersedia, transaksi standar jual-beli</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Filter otomatis: hanya produk halal bersertifikasi MUI/BPJPH, label syariah-compliant. Akad murabahah atau salam untuk produk khusus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Universal Wallet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Saldo standar dengan kemungkinan bunga jika ada</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Akad wadiah (titipan), tanpa bunga, terpisah dari saldo konvensional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Pembiayaan</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Kredit konvensional dengan bunga, lewat bank tenant</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Pembiayaan syariah (murabahah, ijarah, musyarakah) lewat BSI, Bank Muamalat, BPRS, dan koperasi syariah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Edukasi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Semua topik bisnis dan keterampilan tersedia</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Plus modul ekonomi syariah, fiqih muamalah, manajemen pesantren, kewirausahaan halal—diajar praktisi NU/Muhammadiyah dan akademisi</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Trading &amp; Investasi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Saham, forex, crypto—semua instrumen dengan informasi risiko standar</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Hanya saham syariah ISSI, sukuk, reksadana syariah. Forex dan crypto tidak tersedia di mode syariah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Virtual Office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Bank konvensional, BUMN, kantor pemerintah</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Plus BSI, Bank Muamalat, Baznas, LazisNU, MUI, lembaga sertifikasi halal, lembaga pesantren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rPr>
                <w:b/>
                <w:bCs/>
              </w:rPr>
              <w:t xml:space="preserve">Zakat &amp; Filantropi</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Tidak tersedia khusus</w:t>
            </w:r>
          </w:p>
        </w:tc>
        <w:tc>
          <w:tcPr>
            <w:tcW w:type="dxa" w:w="36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20" w:before="20" w:line="280"/>
            </w:pPr>
            <w:r>
              <w:t xml:space="preserve">Fitur otomatis penyaluran zakat penghasilan, infaq, dan wakaf produktif ke Baznas atau LazisNU dengan laporan transparan</w:t>
            </w:r>
          </w:p>
        </w:tc>
      </w:tr>
    </w:tbl>
    <w:p>
      <w:pPr>
        <w:spacing w:after="200"/>
      </w:pPr>
      <w:r>
        <w:t xml:space="preserve"/>
      </w:r>
    </w:p>
    <w:p>
      <w:pPr>
        <w:spacing w:after="140" w:before="80" w:line="320"/>
        <w:jc w:val="both"/>
      </w:pPr>
      <w:r>
        <w:t xml:space="preserve">Beberapa instrumen tidak ditampilkan di mode syariah karena status kesyariahannya masih kontroversial atau menjadi perdebatan ulama (terutama forex margin dan crypto). Daripada memaksakan posisi yang masih diperdebatkan, mode syariah memilih untuk hanya menampilkan instrumen yang sudah jelas konsensusnya. Pengguna mode konvensional tetap dapat mengakses semua instrumen.</w:t>
      </w:r>
    </w:p>
    <w:p>
      <w:r>
        <w:br w:type="page"/>
      </w:r>
    </w:p>
    <w:p>
      <w:pPr>
        <w:pStyle w:val="Heading1"/>
        <w:pBdr>
          <w:bottom w:val="single" w:color="0E5E2F" w:sz="8" w:space="4"/>
        </w:pBdr>
        <w:spacing w:after="200" w:before="400"/>
      </w:pPr>
      <w:r>
        <w:t xml:space="preserve">8. Pertimbangan dan Kehati-hatian</w:t>
      </w:r>
    </w:p>
    <w:p>
      <w:pPr>
        <w:spacing w:after="140" w:before="80" w:line="320"/>
        <w:jc w:val="both"/>
      </w:pPr>
      <w:r>
        <w:t xml:space="preserve">Kemitraan sekompleks ini membawa beberapa risiko yang harus dikelola dengan hati-hati. Berikut hal-hal yang menjadi pertimbangan dalam merancang struktur kemitraan.</w:t>
      </w:r>
    </w:p>
    <w:p>
      <w:pPr>
        <w:pStyle w:val="Heading2"/>
        <w:spacing w:after="140" w:before="280"/>
      </w:pPr>
      <w:r>
        <w:t xml:space="preserve">Menjaga Aplikasi Tetap Inklusif</w:t>
      </w:r>
    </w:p>
    <w:p>
      <w:pPr>
        <w:spacing w:after="140" w:before="80" w:line="320"/>
        <w:jc w:val="both"/>
      </w:pPr>
      <w:r>
        <w:t xml:space="preserve">Risiko paling jelas adalah aplikasi dipersepsi sebagai “aplikasi NU” atau “aplikasi Islam”—mengasingkan non-muslim atau muslim non-NU. Mitigasi dilakukan di tiga lapis: pertama, branding aplikasi tidak mengandung simbol agama tertentu, identitasnya tetap netral; kedua, Muhammadiyah dan ahli independen ada di governance untuk menyeimbangkan; ketiga, mode konvensional dipertahankan sebagai default, bukan mode syariah.</w:t>
      </w:r>
    </w:p>
    <w:p>
      <w:pPr>
        <w:pStyle w:val="Heading2"/>
        <w:spacing w:after="140" w:before="280"/>
      </w:pPr>
      <w:r>
        <w:t xml:space="preserve">Menghindari Ketergantungan Politik</w:t>
      </w:r>
    </w:p>
    <w:p>
      <w:pPr>
        <w:spacing w:after="140" w:before="80" w:line="320"/>
        <w:jc w:val="both"/>
      </w:pPr>
      <w:r>
        <w:t xml:space="preserve">NU secara historis punya hubungan dengan beberapa partai politik. Kemitraan ini harus tegas berada di level NU sebagai organisasi sosial-keagamaan, bukan di level afiliasi politik. Komunikasi publik fokus pada misi ekonomi dan pemberdayaan umat, jauh dari narasi atau dukungan politik praktis. Jika terjadi pergantian rezim politik, aplikasi tidak terimbas karena kemitraannya institusional, bukan personal.</w:t>
      </w:r>
    </w:p>
    <w:p>
      <w:pPr>
        <w:pStyle w:val="Heading2"/>
        <w:spacing w:after="140" w:before="280"/>
      </w:pPr>
      <w:r>
        <w:t xml:space="preserve">Menjaga Kemandirian Aplikasi</w:t>
      </w:r>
    </w:p>
    <w:p>
      <w:pPr>
        <w:spacing w:after="140" w:before="80" w:line="320"/>
        <w:jc w:val="both"/>
      </w:pPr>
      <w:r>
        <w:t xml:space="preserve">NU mendapat governance rights di Dewan Syariah tetapi tidak menjadi pemegang saham mayoritas atau direktur eksekutif. Keputusan operasional harian tetap di tangan manajemen profesional aplikasi. Hal ini menjaga aplikasi tetap lincah secara bisnis dan tidak terjebak dinamika internal organisasi keagamaan yang besar dan kompleks.</w:t>
      </w:r>
    </w:p>
    <w:p>
      <w:pPr>
        <w:pStyle w:val="Heading2"/>
        <w:spacing w:after="140" w:before="280"/>
      </w:pPr>
      <w:r>
        <w:t xml:space="preserve">Mengelola Perselisihan Fiqih Internal</w:t>
      </w:r>
    </w:p>
    <w:p>
      <w:pPr>
        <w:spacing w:after="140" w:before="80" w:line="320"/>
        <w:jc w:val="both"/>
      </w:pPr>
      <w:r>
        <w:t xml:space="preserve">Setiap fitur baru di mode syariah yang potensi menimbulkan perdebatan fiqih akan melalui proses bahtsul masail resmi—mekanisme musyawarah ulama NU yang sudah berabad-abad—dengan output berupa keputusan kolektif, bukan pendapat personal kiai tertentu. Selain itu, Dewan Syariah aplikasi mengikuti standar DSN-MUI sebagai otoritas resmi negara. Dengan begitu, aplikasi tidak menjadi arena pertarungan tafsir internal NU.</w:t>
      </w:r>
    </w:p>
    <w:p>
      <w:pPr>
        <w:pStyle w:val="Heading2"/>
        <w:spacing w:after="140" w:before="280"/>
      </w:pPr>
      <w:r>
        <w:t xml:space="preserve">Menjaga Standar Sertifikasi yang Tegas</w:t>
      </w:r>
    </w:p>
    <w:p>
      <w:pPr>
        <w:spacing w:after="140" w:before="80" w:line="320"/>
        <w:jc w:val="both"/>
      </w:pPr>
      <w:r>
        <w:t xml:space="preserve">Klaim “syariah-compliant” yang lemah bisa merusak kepercayaan dengan cepat. Karena itu, sertifikasi mode syariah aplikasi mengikuti standar formal: produk halal harus bersertifikat MUI/BPJPH; produk keuangan harus sesuai fatwa DSN-MUI; pengelolaan dana harus diaudit auditor syariah bersertifikat tahunan. Klaim syariah hanya ditampilkan untuk produk yang sudah lulus proses ini, tidak digunakan sebagai label marketing tanpa substansi.</w:t>
      </w:r>
    </w:p>
    <w:p>
      <w:pPr>
        <w:pStyle w:val="Heading2"/>
        <w:spacing w:after="140" w:before="280"/>
      </w:pPr>
      <w:r>
        <w:t xml:space="preserve">Menyiapkan Untuk Konflik Kepentingan</w:t>
      </w:r>
    </w:p>
    <w:p>
      <w:pPr>
        <w:spacing w:after="140" w:before="80" w:line="320"/>
        <w:jc w:val="both"/>
      </w:pPr>
      <w:r>
        <w:t xml:space="preserve">Bisa terjadi situasi di mana kepentingan komersial aplikasi berbeda dengan rekomendasi Dewan Syariah. Misalnya, ada produk yang sangat profitable tapi Dewan Syariah menilai tidak syariah-compliant. Untuk situasi seperti ini, governance aplikasi mengatur bahwa Dewan Syariah punya hak veto untuk produk yang masuk mode syariah. Aplikasi tetap bisa menampilkan produk tersebut di mode konvensional, tetapi tidak boleh ditampilkan di mode syariah jika Dewan Syariah menolak. Pemisahan ini menjaga integritas mode syariah tanpa mematikan kepentingan komersial mode konvensional.</w:t>
      </w:r>
    </w:p>
    <w:p>
      <w:r>
        <w:br w:type="page"/>
      </w:r>
    </w:p>
    <w:p>
      <w:pPr>
        <w:pStyle w:val="Heading1"/>
        <w:pBdr>
          <w:bottom w:val="single" w:color="0E5E2F" w:sz="8" w:space="4"/>
        </w:pBdr>
        <w:spacing w:after="200" w:before="400"/>
      </w:pPr>
      <w:r>
        <w:t xml:space="preserve">9. Penutup</w:t>
      </w:r>
    </w:p>
    <w:p>
      <w:pPr>
        <w:spacing w:after="140" w:before="80" w:line="320"/>
        <w:jc w:val="both"/>
      </w:pPr>
      <w:r>
        <w:t xml:space="preserve">Mengajak Nahdlatul Ulama menjadi bagian dari [NAMA PRODUK] adalah keputusan strategis yang berlapis. Di satu lapis, ini adalah keputusan ekonomi—NU membawa jaringan distribusi sampai dusun, segmen pasar puluhan juta nahdliyin, dan infrastruktur fisik pesantren yang tidak bisa dibangun aplikasi manapun dalam waktu singkat. Di lapis lain, ini adalah keputusan tentang legitimasi—di Indonesia, organisasi sosial-keagamaan masih memiliki bobot trust yang tidak tergantikan oleh kampanye marketing modern.</w:t>
      </w:r>
    </w:p>
    <w:p>
      <w:pPr>
        <w:spacing w:after="140" w:before="80" w:line="320"/>
        <w:jc w:val="both"/>
      </w:pPr>
      <w:r>
        <w:t xml:space="preserve">Kemitraan ini dirancang untuk saling menguntungkan tanpa mengorbankan inklusivitas. NU mendapat platform terpadu untuk eksekusi misi pemberdayaan ekonomi nahdliyin, sumber pendapatan halal yang sustainable, dan jangkauan yang jauh lebih besar dari inisiatif digital mereka selama ini. Aplikasi mendapat adopsi yang dipercepat, basis pengguna yang loyal, segmen pasar syariah yang underserved, dan diferensiasi kompetitif yang sangat sulit ditiru.</w:t>
      </w:r>
    </w:p>
    <w:p>
      <w:pPr>
        <w:spacing w:after="140" w:before="80" w:line="320"/>
        <w:jc w:val="both"/>
      </w:pPr>
      <w:r>
        <w:t xml:space="preserve">Yang paling penting, pengguna di luar nahdliyin—termasuk non-muslim, muslim non-NU, dan muslim yang tidak peduli dengan organisasi keagamaan—tidak dirugikan. Mode konvensional tetap menjadi default, mode syariah adalah pilihan opt-in. Pluralisme dijaga lewat struktur governance dengan Muhammadiyah, DSN-MUI, dan ahli independen sebagai penyeimbang. Aplikasi tetap menjadi infrastruktur ekonomi terintegrasi yang universal, dengan mode syariah sebagai salah satu lapis pilihan yang memperkaya, bukan menggantikan.</w:t>
      </w:r>
    </w:p>
    <w:p>
      <w:pPr>
        <w:spacing w:after="140" w:before="80" w:line="320"/>
        <w:jc w:val="both"/>
      </w:pPr>
      <w:r>
        <w:t xml:space="preserve">Jika kemitraan ini berhasil dieksekusi, [NAMA PRODUK] akan menjadi satu-satunya aplikasi di Indonesia yang menyatukan marketplace, perbankan, edukasi, virtual office, dan investasi dalam satu pintu, dengan dukungan dua organisasi Islam terbesar di dunia, dan tetap inklusif untuk semua. Ini adalah posisi strategis yang nyaris tidak mungkin diduplikasi kompetitor.</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Halaman </w:t>
    </w:r>
    <w:r>
      <w:rPr>
        <w:color w:val="808080"/>
        <w:sz w:val="18"/>
        <w:szCs w:val="18"/>
      </w:rPr>
      <w:fldChar w:fldCharType="begin"/>
      <w:instrText xml:space="preserve">PAGE</w:instrText>
      <w:fldChar w:fldCharType="separate"/>
      <w:fldChar w:fldCharType="end"/>
    </w:r>
    <w:r>
      <w:rPr>
        <w:color w:val="808080"/>
        <w:sz w:val="18"/>
        <w:szCs w:val="18"/>
      </w:rPr>
      <w:t xml:space="preserve"> · 13 Mei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Jika NU Menjadi Bagian dari [NAMA PRODUK]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E5E2F"/>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0E5E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Jika NU Menjadi Bagian dari [NAMA PRODUK]</dc:title>
  <dc:creator>Strategic Concept Document</dc:creator>
  <cp:lastModifiedBy>Un-named</cp:lastModifiedBy>
  <cp:revision>1</cp:revision>
  <dcterms:created xsi:type="dcterms:W3CDTF">2026-05-13T13:12:32.958Z</dcterms:created>
  <dcterms:modified xsi:type="dcterms:W3CDTF">2026-05-13T13:12:32.975Z</dcterms:modified>
</cp:coreProperties>
</file>

<file path=docProps/custom.xml><?xml version="1.0" encoding="utf-8"?>
<Properties xmlns="http://schemas.openxmlformats.org/officeDocument/2006/custom-properties" xmlns:vt="http://schemas.openxmlformats.org/officeDocument/2006/docPropsVTypes"/>
</file>