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3C3489" w:val="clear"/>
        <w:spacing w:after="0" w:before="0"/>
        <w:jc w:val="center"/>
      </w:pPr>
      <w:r>
        <w:rPr>
          <w:rFonts w:ascii="Arial" w:cs="Arial" w:eastAsia="Arial" w:hAnsi="Arial"/>
          <w:b/>
          <w:bCs/>
          <w:color w:val="FFFFFF"/>
          <w:sz w:val="20"/>
          <w:szCs w:val="20"/>
        </w:rPr>
        <w:t xml:space="preserve">TRACK A — IMPLEMENTATION GUIDE</w:t>
      </w:r>
    </w:p>
    <w:p>
      <w:pPr>
        <w:spacing w:after="60" w:before="200"/>
        <w:jc w:val="center"/>
      </w:pPr>
      <w:r>
        <w:rPr>
          <w:rFonts w:ascii="Arial" w:cs="Arial" w:eastAsia="Arial" w:hAnsi="Arial"/>
          <w:b/>
          <w:bCs/>
          <w:color w:val="3C3489"/>
          <w:sz w:val="36"/>
          <w:szCs w:val="36"/>
        </w:rPr>
        <w:t xml:space="preserve">Module A1: System Architecture &amp; Prerequisites</w:t>
      </w:r>
    </w:p>
    <w:p>
      <w:pPr>
        <w:spacing w:after="60" w:before="0"/>
        <w:jc w:val="center"/>
      </w:pPr>
      <w:r>
        <w:rPr>
          <w:rFonts w:ascii="Arial" w:cs="Arial" w:eastAsia="Arial" w:hAnsi="Arial"/>
          <w:color w:val="888780"/>
          <w:sz w:val="20"/>
          <w:szCs w:val="20"/>
        </w:rPr>
        <w:t xml:space="preserve">Audience: Graduate / future builders   |   Estimated time: 3–4 hours reading + setup</w:t>
      </w:r>
    </w:p>
    <w:p>
      <w:pPr>
        <w:spacing w:after="240" w:before="0"/>
        <w:jc w:val="center"/>
      </w:pPr>
      <w:r>
        <w:rPr>
          <w:rFonts w:ascii="Arial" w:cs="Arial" w:eastAsia="Arial" w:hAnsi="Arial"/>
          <w:i/>
          <w:iCs/>
          <w:color w:val="AAAAAA"/>
          <w:sz w:val="18"/>
          <w:szCs w:val="18"/>
        </w:rPr>
        <w:t xml:space="preserve">Cal Poly SLO  ·  Industrial &amp; Manufacturing Engineering  ·  Digital Twin Project</w:t>
      </w:r>
    </w:p>
    <w:p>
      <w:pPr>
        <w:pStyle w:val="Heading1"/>
        <w:pBdr>
          <w:bottom w:val="single" w:color="2E4057" w:sz="6" w:space="4"/>
        </w:pBdr>
        <w:spacing w:after="100" w:before="280"/>
      </w:pPr>
      <w:r>
        <w:rPr>
          <w:rFonts w:ascii="Arial" w:cs="Arial" w:eastAsia="Arial" w:hAnsi="Arial"/>
          <w:b/>
          <w:bCs/>
          <w:sz w:val="32"/>
          <w:szCs w:val="32"/>
        </w:rPr>
        <w:t xml:space="preserve">Overview</w:t>
      </w:r>
    </w:p>
    <w:p>
      <w:pPr>
        <w:spacing w:after="100" w:before="60"/>
        <w:jc w:val="both"/>
      </w:pPr>
      <w:r>
        <w:rPr>
          <w:rFonts w:ascii="Arial" w:cs="Arial" w:eastAsia="Arial" w:hAnsi="Arial"/>
          <w:color w:val="2C2C2A"/>
          <w:sz w:val="22"/>
          <w:szCs w:val="22"/>
        </w:rPr>
        <w:t xml:space="preserve">This module is the entry point for anyone building or extending the Human-in-the-Loop Intelligent Digital Twin developed at Cal Poly SLO. It documents what the system is, what prior knowledge is required, and what depth of understanding each component produces. This is the empirical answer to the gap identified by González-Pérez &amp; Ramírez-Montoya (2022): no prior retrofit DT project documented its prerequisite structure, time investment, or understanding depth.</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360"/>
      </w:tblGrid>
      <w:tr>
        <w:tc>
          <w:tcPr>
            <w:tcW w:type="dxa" w:w="8360"/>
            <w:tcBorders>
              <w:top w:val="single" w:color="DDDDDD" w:sz="1"/>
              <w:left w:val="single" w:color="DDDDDD" w:sz="1"/>
              <w:bottom w:val="single" w:color="DDDDDD" w:sz="1"/>
              <w:right w:val="single" w:color="DDDDDD" w:sz="1"/>
            </w:tcBorders>
            <w:shd w:fill="E6F1FB" w:val="clear"/>
            <w:tcMar>
              <w:top w:type="dxa" w:w="120"/>
              <w:left w:type="dxa" w:w="160"/>
              <w:bottom w:type="dxa" w:w="120"/>
              <w:right w:type="dxa" w:w="160"/>
            </w:tcMar>
          </w:tcPr>
          <w:p>
            <w:pPr>
              <w:spacing w:after="80" w:before="40"/>
            </w:pPr>
            <w:r>
              <w:rPr>
                <w:rFonts w:ascii="Arial" w:cs="Arial" w:eastAsia="Arial" w:hAnsi="Arial"/>
                <w:b/>
                <w:bCs/>
                <w:color w:val="185FA5"/>
                <w:sz w:val="22"/>
                <w:szCs w:val="22"/>
              </w:rPr>
              <w:t xml:space="preserve">Learning objectives</w:t>
            </w:r>
          </w:p>
          <w:p>
            <w:pPr>
              <w:pStyle w:val="ListParagraph"/>
              <w:numPr>
                <w:ilvl w:val="0"/>
                <w:numId w:val="2"/>
              </w:numPr>
              <w:spacing w:after="40" w:before="40"/>
            </w:pPr>
            <w:r>
              <w:rPr>
                <w:rFonts w:ascii="Arial" w:cs="Arial" w:eastAsia="Arial" w:hAnsi="Arial"/>
                <w:color w:val="2C2C2A"/>
                <w:sz w:val="22"/>
                <w:szCs w:val="22"/>
              </w:rPr>
              <w:t xml:space="preserve">Describe the full HitL DT system architecture from sensor to operator interface</w:t>
            </w:r>
          </w:p>
          <w:p>
            <w:pPr>
              <w:pStyle w:val="ListParagraph"/>
              <w:numPr>
                <w:ilvl w:val="0"/>
                <w:numId w:val="2"/>
              </w:numPr>
              <w:spacing w:after="40" w:before="40"/>
            </w:pPr>
            <w:r>
              <w:rPr>
                <w:rFonts w:ascii="Arial" w:cs="Arial" w:eastAsia="Arial" w:hAnsi="Arial"/>
                <w:color w:val="2C2C2A"/>
                <w:sz w:val="22"/>
                <w:szCs w:val="22"/>
              </w:rPr>
              <w:t xml:space="preserve">Identify prerequisite knowledge domains and their correct sequencing</w:t>
            </w:r>
          </w:p>
          <w:p>
            <w:pPr>
              <w:pStyle w:val="ListParagraph"/>
              <w:numPr>
                <w:ilvl w:val="0"/>
                <w:numId w:val="2"/>
              </w:numPr>
              <w:spacing w:after="40" w:before="40"/>
            </w:pPr>
            <w:r>
              <w:rPr>
                <w:rFonts w:ascii="Arial" w:cs="Arial" w:eastAsia="Arial" w:hAnsi="Arial"/>
                <w:color w:val="2C2C2A"/>
                <w:sz w:val="22"/>
                <w:szCs w:val="22"/>
              </w:rPr>
              <w:t xml:space="preserve">Estimate realistic time investment per system component</w:t>
            </w:r>
          </w:p>
          <w:p>
            <w:pPr>
              <w:pStyle w:val="ListParagraph"/>
              <w:numPr>
                <w:ilvl w:val="0"/>
                <w:numId w:val="2"/>
              </w:numPr>
              <w:spacing w:after="40" w:before="40"/>
            </w:pPr>
            <w:r>
              <w:rPr>
                <w:rFonts w:ascii="Arial" w:cs="Arial" w:eastAsia="Arial" w:hAnsi="Arial"/>
                <w:color w:val="2C2C2A"/>
                <w:sz w:val="22"/>
                <w:szCs w:val="22"/>
              </w:rPr>
              <w:t xml:space="preserve">Distinguish deep, moderate, and surface-level understanding for each domain</w:t>
            </w:r>
          </w:p>
          <w:p>
            <w:pPr>
              <w:pStyle w:val="ListParagraph"/>
              <w:numPr>
                <w:ilvl w:val="0"/>
                <w:numId w:val="2"/>
              </w:numPr>
              <w:spacing w:after="40" w:before="40"/>
            </w:pPr>
            <w:r>
              <w:rPr>
                <w:rFonts w:ascii="Arial" w:cs="Arial" w:eastAsia="Arial" w:hAnsi="Arial"/>
                <w:color w:val="2C2C2A"/>
                <w:sz w:val="22"/>
                <w:szCs w:val="22"/>
              </w:rPr>
              <w:t xml:space="preserve">Navigate the repository structure and locate relevant codebases</w:t>
            </w:r>
          </w:p>
        </w:tc>
      </w:tr>
    </w:tbl>
    <w:p>
      <w:pPr>
        <w:spacing w:after="80" w:before="80"/>
      </w:pPr>
      <w:r>
        <w:t xml:space="preserve"/>
      </w:r>
    </w:p>
    <w:p>
      <w:pPr>
        <w:pStyle w:val="Heading1"/>
        <w:pBdr>
          <w:bottom w:val="single" w:color="2E4057" w:sz="6" w:space="4"/>
        </w:pBdr>
        <w:spacing w:after="100" w:before="280"/>
      </w:pPr>
      <w:r>
        <w:rPr>
          <w:rFonts w:ascii="Arial" w:cs="Arial" w:eastAsia="Arial" w:hAnsi="Arial"/>
          <w:b/>
          <w:bCs/>
          <w:sz w:val="32"/>
          <w:szCs w:val="32"/>
        </w:rPr>
        <w:t xml:space="preserve">System Architecture</w:t>
      </w:r>
    </w:p>
    <w:p>
      <w:pPr>
        <w:spacing w:after="100" w:before="60"/>
        <w:jc w:val="both"/>
      </w:pPr>
      <w:r>
        <w:rPr>
          <w:rFonts w:ascii="Arial" w:cs="Arial" w:eastAsia="Arial" w:hAnsi="Arial"/>
          <w:color w:val="2C2C2A"/>
          <w:sz w:val="22"/>
          <w:szCs w:val="22"/>
        </w:rPr>
        <w:t xml:space="preserve">The HitL Intelligent Digital Twin is composed of five interconnected subsystems. Understanding the boundary between each subsystem and how data crosses those boundaries is more important than deep expertise in any single area at the outset.</w:t>
      </w:r>
    </w:p>
    <w:p>
      <w:pPr>
        <w:spacing w:after="80" w:before="80"/>
      </w:pPr>
      <w:r>
        <w:t xml:space="preserve"/>
      </w:r>
    </w:p>
    <w:p>
      <w:pPr>
        <w:spacing w:after="40" w:before="120"/>
        <w:jc w:val="center"/>
      </w:pPr>
      <w:r>
        <w:drawing>
          <wp:inline distT="0" distB="0" distL="0" distR="0">
            <wp:extent cx="51435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1476375"/>
                    </a:xfrm>
                    <a:prstGeom prst="rect">
                      <a:avLst/>
                    </a:prstGeom>
                  </pic:spPr>
                </pic:pic>
              </a:graphicData>
            </a:graphic>
          </wp:inline>
        </w:drawing>
      </w:r>
    </w:p>
    <w:p>
      <w:pPr>
        <w:spacing w:after="140" w:before="0"/>
        <w:jc w:val="center"/>
      </w:pPr>
      <w:r>
        <w:rPr>
          <w:rFonts w:ascii="Arial" w:cs="Arial" w:eastAsia="Arial" w:hAnsi="Arial"/>
          <w:i/>
          <w:iCs/>
          <w:color w:val="5F5E5A"/>
          <w:sz w:val="18"/>
          <w:szCs w:val="18"/>
        </w:rPr>
        <w:t xml:space="preserve">Figure 1. IoT data pipeline from physical system to digital twin (Lee et al., 2015)</w:t>
      </w:r>
    </w:p>
    <w:p>
      <w:pPr>
        <w:spacing w:after="80" w:before="80"/>
      </w:pPr>
      <w:r>
        <w:t xml:space="preserve"/>
      </w:r>
    </w:p>
    <w:p>
      <w:pPr>
        <w:pStyle w:val="Heading2"/>
        <w:spacing w:after="70" w:before="220"/>
      </w:pPr>
      <w:r>
        <w:rPr>
          <w:rFonts w:ascii="Arial" w:cs="Arial" w:eastAsia="Arial" w:hAnsi="Arial"/>
          <w:b/>
          <w:bCs/>
          <w:sz w:val="26"/>
          <w:szCs w:val="26"/>
        </w:rPr>
        <w:t xml:space="preserve">Subsystem 1: Physical robot (HC10 + YRC1000)</w:t>
      </w:r>
    </w:p>
    <w:p>
      <w:pPr>
        <w:spacing w:after="100" w:before="60"/>
        <w:jc w:val="both"/>
      </w:pPr>
      <w:r>
        <w:rPr>
          <w:rFonts w:ascii="Arial" w:cs="Arial" w:eastAsia="Arial" w:hAnsi="Arial"/>
          <w:color w:val="2C2C2A"/>
          <w:sz w:val="22"/>
          <w:szCs w:val="22"/>
        </w:rPr>
        <w:t xml:space="preserve">The Yaskawa HC10 is a six-DOF collaborative robot controlled by the YRC1000 controller. State data (joint angles, end-effector pose, gripper state) is exported via Ethernet. The most critical thing to understand is what is NOT exposed by default: force-torque data requires additional hardware, and high-frequency joint state streaming requires controller-side configuration. Know the black-box boundaries before building around them.</w:t>
      </w:r>
    </w:p>
    <w:p>
      <w:pPr>
        <w:pStyle w:val="Heading2"/>
        <w:spacing w:after="70" w:before="220"/>
      </w:pPr>
      <w:r>
        <w:rPr>
          <w:rFonts w:ascii="Arial" w:cs="Arial" w:eastAsia="Arial" w:hAnsi="Arial"/>
          <w:b/>
          <w:bCs/>
          <w:sz w:val="26"/>
          <w:szCs w:val="26"/>
        </w:rPr>
        <w:t xml:space="preserve">Subsystem 2: Vision pipeline (camera + OpenCV)</w:t>
      </w:r>
    </w:p>
    <w:p>
      <w:pPr>
        <w:spacing w:after="100" w:before="60"/>
        <w:jc w:val="both"/>
      </w:pPr>
      <w:r>
        <w:rPr>
          <w:rFonts w:ascii="Arial" w:cs="Arial" w:eastAsia="Arial" w:hAnsi="Arial"/>
          <w:color w:val="2C2C2A"/>
          <w:sz w:val="22"/>
          <w:szCs w:val="22"/>
        </w:rPr>
        <w:t xml:space="preserve">A camera mounted above the workspace captures the assembly area. OpenCV performs HSV color extraction and K-means clustering to classify objects. The output is a continuous confidence score between 0 and 1 derived from the centroid distance of the classification cluster. This score is the central data stream that drives the HitL architecture.</w:t>
      </w:r>
    </w:p>
    <w:p>
      <w:pPr>
        <w:pStyle w:val="Heading2"/>
        <w:spacing w:after="70" w:before="220"/>
      </w:pPr>
      <w:r>
        <w:rPr>
          <w:rFonts w:ascii="Arial" w:cs="Arial" w:eastAsia="Arial" w:hAnsi="Arial"/>
          <w:b/>
          <w:bCs/>
          <w:sz w:val="26"/>
          <w:szCs w:val="26"/>
        </w:rPr>
        <w:t xml:space="preserve">Subsystem 3: Confidence engine &amp; threshold logic</w:t>
      </w:r>
    </w:p>
    <w:p>
      <w:pPr>
        <w:spacing w:after="100" w:before="60"/>
        <w:jc w:val="both"/>
      </w:pPr>
      <w:r>
        <w:rPr>
          <w:rFonts w:ascii="Arial" w:cs="Arial" w:eastAsia="Arial" w:hAnsi="Arial"/>
          <w:color w:val="2C2C2A"/>
          <w:sz w:val="22"/>
          <w:szCs w:val="22"/>
        </w:rPr>
        <w:t xml:space="preserve">The confidence engine compares the score to a calibrated threshold (currently 0.607). Above threshold: the robot acts autonomously. Below threshold: the robot pauses and routes the decision to an operator. The threshold is a design parameter that should be re-calibrated if lighting or part geometry changes.</w:t>
      </w:r>
    </w:p>
    <w:p>
      <w:pPr>
        <w:pStyle w:val="Heading2"/>
        <w:spacing w:after="70" w:before="220"/>
      </w:pPr>
      <w:r>
        <w:rPr>
          <w:rFonts w:ascii="Arial" w:cs="Arial" w:eastAsia="Arial" w:hAnsi="Arial"/>
          <w:b/>
          <w:bCs/>
          <w:sz w:val="26"/>
          <w:szCs w:val="26"/>
        </w:rPr>
        <w:t xml:space="preserve">Subsystem 4: RoboDK digital twin</w:t>
      </w:r>
    </w:p>
    <w:p>
      <w:pPr>
        <w:spacing w:after="100" w:before="60"/>
        <w:jc w:val="both"/>
      </w:pPr>
      <w:r>
        <w:rPr>
          <w:rFonts w:ascii="Arial" w:cs="Arial" w:eastAsia="Arial" w:hAnsi="Arial"/>
          <w:color w:val="2C2C2A"/>
          <w:sz w:val="22"/>
          <w:szCs w:val="22"/>
        </w:rPr>
        <w:t xml:space="preserve">RoboDK maintains a real-time kinematic model of the HC10. State updates from the YRC1000 are pushed to the RoboDK API, which updates the virtual robot joint configuration. Path plans created in RoboDK are executed on the physical robot.</w:t>
      </w:r>
    </w:p>
    <w:p>
      <w:pPr>
        <w:pStyle w:val="Heading2"/>
        <w:spacing w:after="70" w:before="220"/>
      </w:pPr>
      <w:r>
        <w:rPr>
          <w:rFonts w:ascii="Arial" w:cs="Arial" w:eastAsia="Arial" w:hAnsi="Arial"/>
          <w:b/>
          <w:bCs/>
          <w:sz w:val="26"/>
          <w:szCs w:val="26"/>
        </w:rPr>
        <w:t xml:space="preserve">Subsystem 5: Human interface (GUI / LLM)</w:t>
      </w:r>
    </w:p>
    <w:p>
      <w:pPr>
        <w:spacing w:after="100" w:before="60"/>
        <w:jc w:val="both"/>
      </w:pPr>
      <w:r>
        <w:rPr>
          <w:rFonts w:ascii="Arial" w:cs="Arial" w:eastAsia="Arial" w:hAnsi="Arial"/>
          <w:color w:val="2C2C2A"/>
          <w:sz w:val="22"/>
          <w:szCs w:val="22"/>
        </w:rPr>
        <w:t xml:space="preserve">When confidence falls below threshold, the operator interface displays the camera view with the candidate object highlighted, the confidence score, and the system best guess. Responses via GUI or LLM are timestamped and logged for analysis.</w:t>
      </w:r>
    </w:p>
    <w:p>
      <w:pPr>
        <w:spacing w:after="80" w:before="80"/>
      </w:pPr>
      <w:r>
        <w:t xml:space="preserve"/>
      </w:r>
    </w:p>
    <w:p>
      <w:pPr>
        <w:pStyle w:val="Heading1"/>
        <w:pBdr>
          <w:bottom w:val="single" w:color="2E4057" w:sz="6" w:space="4"/>
        </w:pBdr>
        <w:spacing w:after="100" w:before="280"/>
      </w:pPr>
      <w:r>
        <w:rPr>
          <w:rFonts w:ascii="Arial" w:cs="Arial" w:eastAsia="Arial" w:hAnsi="Arial"/>
          <w:b/>
          <w:bCs/>
          <w:sz w:val="32"/>
          <w:szCs w:val="32"/>
        </w:rPr>
        <w:t xml:space="preserve">Prerequisite Knowledge Map</w:t>
      </w:r>
    </w:p>
    <w:p>
      <w:pPr>
        <w:spacing w:after="100" w:before="60"/>
        <w:jc w:val="both"/>
      </w:pPr>
      <w:r>
        <w:rPr>
          <w:rFonts w:ascii="Arial" w:cs="Arial" w:eastAsia="Arial" w:hAnsi="Arial"/>
          <w:color w:val="2C2C2A"/>
          <w:sz w:val="22"/>
          <w:szCs w:val="22"/>
        </w:rPr>
        <w:t xml:space="preserve">The table below is the empirical prerequisite map that González-Pérez &amp; Ramírez-Montoya (2022) identified as missing from every prior DT education study. Update this table as the system evolves.</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200"/>
        <w:gridCol w:w="3860"/>
      </w:tblGrid>
      <w:tr>
        <w:tc>
          <w:tcPr>
            <w:tcW w:type="dxa" w:w="240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Knowledge domain</w:t>
            </w:r>
          </w:p>
        </w:tc>
        <w:tc>
          <w:tcPr>
            <w:tcW w:type="dxa" w:w="90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Seq.</w:t>
            </w:r>
          </w:p>
        </w:tc>
        <w:tc>
          <w:tcPr>
            <w:tcW w:type="dxa" w:w="120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Est. hrs</w:t>
            </w:r>
          </w:p>
        </w:tc>
        <w:tc>
          <w:tcPr>
            <w:tcW w:type="dxa" w:w="386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Understanding depth achieved</w:t>
            </w:r>
          </w:p>
        </w:tc>
      </w:tr>
      <w:tr>
        <w:tc>
          <w:tcPr>
            <w:tcW w:type="dxa" w:w="240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Python + ROS 2 basics</w:t>
            </w:r>
          </w:p>
        </w:tc>
        <w:tc>
          <w:tcPr>
            <w:tcW w:type="dxa" w:w="90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1st</w:t>
            </w:r>
          </w:p>
        </w:tc>
        <w:tc>
          <w:tcPr>
            <w:tcW w:type="dxa" w:w="120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8 h</w:t>
            </w:r>
          </w:p>
        </w:tc>
        <w:tc>
          <w:tcPr>
            <w:tcW w:type="dxa" w:w="386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Deep — required to debug every downstream component</w:t>
            </w:r>
          </w:p>
        </w:tc>
      </w:tr>
      <w:tr>
        <w:tc>
          <w:tcPr>
            <w:tcW w:type="dxa" w:w="2400"/>
            <w:tcBorders>
              <w:top w:val="single" w:color="DDDDDD" w:sz="1"/>
              <w:left w:val="single" w:color="DDDDDD" w:sz="1"/>
              <w:bottom w:val="single" w:color="DDDDDD" w:sz="1"/>
              <w:right w:val="single" w:color="DDDDDD" w:sz="1"/>
            </w:tcBorders>
            <w:tcMar>
              <w:top w:type="dxa" w:w="180"/>
              <w:left w:type="dxa" w:w="140"/>
              <w:bottom w:type="dxa" w:w="180"/>
              <w:right w:type="dxa" w:w="140"/>
            </w:tcMar>
          </w:tcPr>
          <w:p>
            <w:r>
              <w:rPr>
                <w:rFonts w:ascii="Arial" w:cs="Arial" w:eastAsia="Arial" w:hAnsi="Arial"/>
                <w:sz w:val="20"/>
                <w:szCs w:val="20"/>
              </w:rPr>
              <w:t xml:space="preserve">RoboDK API &amp; kinematics</w:t>
            </w:r>
          </w:p>
        </w:tc>
        <w:tc>
          <w:tcPr>
            <w:tcW w:type="dxa" w:w="900"/>
            <w:tcBorders>
              <w:top w:val="single" w:color="DDDDDD" w:sz="1"/>
              <w:left w:val="single" w:color="DDDDDD" w:sz="1"/>
              <w:bottom w:val="single" w:color="DDDDDD" w:sz="1"/>
              <w:right w:val="single" w:color="DDDDDD" w:sz="1"/>
            </w:tcBorders>
            <w:tcMar>
              <w:top w:type="dxa" w:w="180"/>
              <w:left w:type="dxa" w:w="140"/>
              <w:bottom w:type="dxa" w:w="180"/>
              <w:right w:type="dxa" w:w="140"/>
            </w:tcMar>
          </w:tcPr>
          <w:p>
            <w:r>
              <w:rPr>
                <w:rFonts w:ascii="Arial" w:cs="Arial" w:eastAsia="Arial" w:hAnsi="Arial"/>
                <w:sz w:val="20"/>
                <w:szCs w:val="20"/>
              </w:rPr>
              <w:t xml:space="preserve">2nd</w:t>
            </w:r>
          </w:p>
        </w:tc>
        <w:tc>
          <w:tcPr>
            <w:tcW w:type="dxa" w:w="1200"/>
            <w:tcBorders>
              <w:top w:val="single" w:color="DDDDDD" w:sz="1"/>
              <w:left w:val="single" w:color="DDDDDD" w:sz="1"/>
              <w:bottom w:val="single" w:color="DDDDDD" w:sz="1"/>
              <w:right w:val="single" w:color="DDDDDD" w:sz="1"/>
            </w:tcBorders>
            <w:tcMar>
              <w:top w:type="dxa" w:w="180"/>
              <w:left w:type="dxa" w:w="140"/>
              <w:bottom w:type="dxa" w:w="180"/>
              <w:right w:type="dxa" w:w="140"/>
            </w:tcMar>
          </w:tcPr>
          <w:p>
            <w:r>
              <w:rPr>
                <w:rFonts w:ascii="Arial" w:cs="Arial" w:eastAsia="Arial" w:hAnsi="Arial"/>
                <w:sz w:val="20"/>
                <w:szCs w:val="20"/>
              </w:rPr>
              <w:t xml:space="preserve">12 h</w:t>
            </w:r>
          </w:p>
        </w:tc>
        <w:tc>
          <w:tcPr>
            <w:tcW w:type="dxa" w:w="3860"/>
            <w:tcBorders>
              <w:top w:val="single" w:color="DDDDDD" w:sz="1"/>
              <w:left w:val="single" w:color="DDDDDD" w:sz="1"/>
              <w:bottom w:val="single" w:color="DDDDDD" w:sz="1"/>
              <w:right w:val="single" w:color="DDDDDD" w:sz="1"/>
            </w:tcBorders>
            <w:tcMar>
              <w:top w:type="dxa" w:w="180"/>
              <w:left w:type="dxa" w:w="140"/>
              <w:bottom w:type="dxa" w:w="180"/>
              <w:right w:type="dxa" w:w="140"/>
            </w:tcMar>
          </w:tcPr>
          <w:p>
            <w:r>
              <w:rPr>
                <w:rFonts w:ascii="Arial" w:cs="Arial" w:eastAsia="Arial" w:hAnsi="Arial"/>
                <w:sz w:val="20"/>
                <w:szCs w:val="20"/>
              </w:rPr>
              <w:t xml:space="preserve">Deep — model accuracy determines DT fidelity</w:t>
            </w:r>
          </w:p>
        </w:tc>
      </w:tr>
      <w:tr>
        <w:tc>
          <w:tcPr>
            <w:tcW w:type="dxa" w:w="240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YRC1000 Ethernet interface</w:t>
            </w:r>
          </w:p>
        </w:tc>
        <w:tc>
          <w:tcPr>
            <w:tcW w:type="dxa" w:w="90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3rd</w:t>
            </w:r>
          </w:p>
        </w:tc>
        <w:tc>
          <w:tcPr>
            <w:tcW w:type="dxa" w:w="120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15 h</w:t>
            </w:r>
          </w:p>
        </w:tc>
        <w:tc>
          <w:tcPr>
            <w:tcW w:type="dxa" w:w="386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Moderate — protocol understood; controller internals opaque</w:t>
            </w:r>
          </w:p>
        </w:tc>
      </w:tr>
      <w:tr>
        <w:tc>
          <w:tcPr>
            <w:tcW w:type="dxa" w:w="2400"/>
            <w:tcBorders>
              <w:top w:val="single" w:color="DDDDDD" w:sz="1"/>
              <w:left w:val="single" w:color="DDDDDD" w:sz="1"/>
              <w:bottom w:val="single" w:color="DDDDDD" w:sz="1"/>
              <w:right w:val="single" w:color="DDDDDD" w:sz="1"/>
            </w:tcBorders>
            <w:tcMar>
              <w:top w:type="dxa" w:w="180"/>
              <w:left w:type="dxa" w:w="140"/>
              <w:bottom w:type="dxa" w:w="180"/>
              <w:right w:type="dxa" w:w="140"/>
            </w:tcMar>
          </w:tcPr>
          <w:p>
            <w:r>
              <w:rPr>
                <w:rFonts w:ascii="Arial" w:cs="Arial" w:eastAsia="Arial" w:hAnsi="Arial"/>
                <w:sz w:val="20"/>
                <w:szCs w:val="20"/>
              </w:rPr>
              <w:t xml:space="preserve">OpenCV &amp; color segmentation</w:t>
            </w:r>
          </w:p>
        </w:tc>
        <w:tc>
          <w:tcPr>
            <w:tcW w:type="dxa" w:w="900"/>
            <w:tcBorders>
              <w:top w:val="single" w:color="DDDDDD" w:sz="1"/>
              <w:left w:val="single" w:color="DDDDDD" w:sz="1"/>
              <w:bottom w:val="single" w:color="DDDDDD" w:sz="1"/>
              <w:right w:val="single" w:color="DDDDDD" w:sz="1"/>
            </w:tcBorders>
            <w:tcMar>
              <w:top w:type="dxa" w:w="180"/>
              <w:left w:type="dxa" w:w="140"/>
              <w:bottom w:type="dxa" w:w="180"/>
              <w:right w:type="dxa" w:w="140"/>
            </w:tcMar>
          </w:tcPr>
          <w:p>
            <w:r>
              <w:rPr>
                <w:rFonts w:ascii="Arial" w:cs="Arial" w:eastAsia="Arial" w:hAnsi="Arial"/>
                <w:sz w:val="20"/>
                <w:szCs w:val="20"/>
              </w:rPr>
              <w:t xml:space="preserve">4th</w:t>
            </w:r>
          </w:p>
        </w:tc>
        <w:tc>
          <w:tcPr>
            <w:tcW w:type="dxa" w:w="1200"/>
            <w:tcBorders>
              <w:top w:val="single" w:color="DDDDDD" w:sz="1"/>
              <w:left w:val="single" w:color="DDDDDD" w:sz="1"/>
              <w:bottom w:val="single" w:color="DDDDDD" w:sz="1"/>
              <w:right w:val="single" w:color="DDDDDD" w:sz="1"/>
            </w:tcBorders>
            <w:tcMar>
              <w:top w:type="dxa" w:w="180"/>
              <w:left w:type="dxa" w:w="140"/>
              <w:bottom w:type="dxa" w:w="180"/>
              <w:right w:type="dxa" w:w="140"/>
            </w:tcMar>
          </w:tcPr>
          <w:p>
            <w:r>
              <w:rPr>
                <w:rFonts w:ascii="Arial" w:cs="Arial" w:eastAsia="Arial" w:hAnsi="Arial"/>
                <w:sz w:val="20"/>
                <w:szCs w:val="20"/>
              </w:rPr>
              <w:t xml:space="preserve">10 h</w:t>
            </w:r>
          </w:p>
        </w:tc>
        <w:tc>
          <w:tcPr>
            <w:tcW w:type="dxa" w:w="3860"/>
            <w:tcBorders>
              <w:top w:val="single" w:color="DDDDDD" w:sz="1"/>
              <w:left w:val="single" w:color="DDDDDD" w:sz="1"/>
              <w:bottom w:val="single" w:color="DDDDDD" w:sz="1"/>
              <w:right w:val="single" w:color="DDDDDD" w:sz="1"/>
            </w:tcBorders>
            <w:tcMar>
              <w:top w:type="dxa" w:w="180"/>
              <w:left w:type="dxa" w:w="140"/>
              <w:bottom w:type="dxa" w:w="180"/>
              <w:right w:type="dxa" w:w="140"/>
            </w:tcMar>
          </w:tcPr>
          <w:p>
            <w:r>
              <w:rPr>
                <w:rFonts w:ascii="Arial" w:cs="Arial" w:eastAsia="Arial" w:hAnsi="Arial"/>
                <w:sz w:val="20"/>
                <w:szCs w:val="20"/>
              </w:rPr>
              <w:t xml:space="preserve">Deep — pipeline fully transparent and customizable</w:t>
            </w:r>
          </w:p>
        </w:tc>
      </w:tr>
      <w:tr>
        <w:tc>
          <w:tcPr>
            <w:tcW w:type="dxa" w:w="240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GMM confidence modeling</w:t>
            </w:r>
          </w:p>
        </w:tc>
        <w:tc>
          <w:tcPr>
            <w:tcW w:type="dxa" w:w="90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5th</w:t>
            </w:r>
          </w:p>
        </w:tc>
        <w:tc>
          <w:tcPr>
            <w:tcW w:type="dxa" w:w="120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8 h</w:t>
            </w:r>
          </w:p>
        </w:tc>
        <w:tc>
          <w:tcPr>
            <w:tcW w:type="dxa" w:w="386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Moderate — concepts applied; not derived from first principles</w:t>
            </w:r>
          </w:p>
        </w:tc>
      </w:tr>
      <w:tr>
        <w:tc>
          <w:tcPr>
            <w:tcW w:type="dxa" w:w="2400"/>
            <w:tcBorders>
              <w:top w:val="single" w:color="DDDDDD" w:sz="1"/>
              <w:left w:val="single" w:color="DDDDDD" w:sz="1"/>
              <w:bottom w:val="single" w:color="DDDDDD" w:sz="1"/>
              <w:right w:val="single" w:color="DDDDDD" w:sz="1"/>
            </w:tcBorders>
            <w:tcMar>
              <w:top w:type="dxa" w:w="180"/>
              <w:left w:type="dxa" w:w="140"/>
              <w:bottom w:type="dxa" w:w="180"/>
              <w:right w:type="dxa" w:w="140"/>
            </w:tcMar>
          </w:tcPr>
          <w:p>
            <w:r>
              <w:rPr>
                <w:rFonts w:ascii="Arial" w:cs="Arial" w:eastAsia="Arial" w:hAnsi="Arial"/>
                <w:sz w:val="20"/>
                <w:szCs w:val="20"/>
              </w:rPr>
              <w:t xml:space="preserve">HitL logic &amp; threshold design</w:t>
            </w:r>
          </w:p>
        </w:tc>
        <w:tc>
          <w:tcPr>
            <w:tcW w:type="dxa" w:w="900"/>
            <w:tcBorders>
              <w:top w:val="single" w:color="DDDDDD" w:sz="1"/>
              <w:left w:val="single" w:color="DDDDDD" w:sz="1"/>
              <w:bottom w:val="single" w:color="DDDDDD" w:sz="1"/>
              <w:right w:val="single" w:color="DDDDDD" w:sz="1"/>
            </w:tcBorders>
            <w:tcMar>
              <w:top w:type="dxa" w:w="180"/>
              <w:left w:type="dxa" w:w="140"/>
              <w:bottom w:type="dxa" w:w="180"/>
              <w:right w:type="dxa" w:w="140"/>
            </w:tcMar>
          </w:tcPr>
          <w:p>
            <w:r>
              <w:rPr>
                <w:rFonts w:ascii="Arial" w:cs="Arial" w:eastAsia="Arial" w:hAnsi="Arial"/>
                <w:sz w:val="20"/>
                <w:szCs w:val="20"/>
              </w:rPr>
              <w:t xml:space="preserve">6th</w:t>
            </w:r>
          </w:p>
        </w:tc>
        <w:tc>
          <w:tcPr>
            <w:tcW w:type="dxa" w:w="1200"/>
            <w:tcBorders>
              <w:top w:val="single" w:color="DDDDDD" w:sz="1"/>
              <w:left w:val="single" w:color="DDDDDD" w:sz="1"/>
              <w:bottom w:val="single" w:color="DDDDDD" w:sz="1"/>
              <w:right w:val="single" w:color="DDDDDD" w:sz="1"/>
            </w:tcBorders>
            <w:tcMar>
              <w:top w:type="dxa" w:w="180"/>
              <w:left w:type="dxa" w:w="140"/>
              <w:bottom w:type="dxa" w:w="180"/>
              <w:right w:type="dxa" w:w="140"/>
            </w:tcMar>
          </w:tcPr>
          <w:p>
            <w:r>
              <w:rPr>
                <w:rFonts w:ascii="Arial" w:cs="Arial" w:eastAsia="Arial" w:hAnsi="Arial"/>
                <w:sz w:val="20"/>
                <w:szCs w:val="20"/>
              </w:rPr>
              <w:t xml:space="preserve">6 h</w:t>
            </w:r>
          </w:p>
        </w:tc>
        <w:tc>
          <w:tcPr>
            <w:tcW w:type="dxa" w:w="3860"/>
            <w:tcBorders>
              <w:top w:val="single" w:color="DDDDDD" w:sz="1"/>
              <w:left w:val="single" w:color="DDDDDD" w:sz="1"/>
              <w:bottom w:val="single" w:color="DDDDDD" w:sz="1"/>
              <w:right w:val="single" w:color="DDDDDD" w:sz="1"/>
            </w:tcBorders>
            <w:tcMar>
              <w:top w:type="dxa" w:w="180"/>
              <w:left w:type="dxa" w:w="140"/>
              <w:bottom w:type="dxa" w:w="180"/>
              <w:right w:type="dxa" w:w="140"/>
            </w:tcMar>
          </w:tcPr>
          <w:p>
            <w:r>
              <w:rPr>
                <w:rFonts w:ascii="Arial" w:cs="Arial" w:eastAsia="Arial" w:hAnsi="Arial"/>
                <w:sz w:val="20"/>
                <w:szCs w:val="20"/>
              </w:rPr>
              <w:t xml:space="preserve">Deep — core contribution; must be owned fully</w:t>
            </w:r>
          </w:p>
        </w:tc>
      </w:tr>
      <w:tr>
        <w:tc>
          <w:tcPr>
            <w:tcW w:type="dxa" w:w="240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Sync &amp; integration testing</w:t>
            </w:r>
          </w:p>
        </w:tc>
        <w:tc>
          <w:tcPr>
            <w:tcW w:type="dxa" w:w="90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7th</w:t>
            </w:r>
          </w:p>
        </w:tc>
        <w:tc>
          <w:tcPr>
            <w:tcW w:type="dxa" w:w="120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14 h</w:t>
            </w:r>
          </w:p>
        </w:tc>
        <w:tc>
          <w:tcPr>
            <w:tcW w:type="dxa" w:w="386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Moderate — functional understanding; edge cases remain</w:t>
            </w:r>
          </w:p>
        </w:tc>
      </w:tr>
    </w:tbl>
    <w:p>
      <w:pPr>
        <w:spacing w:after="80" w:before="80"/>
      </w:pPr>
      <w:r>
        <w:t xml:space="preserve"/>
      </w:r>
    </w:p>
    <w:p>
      <w:pPr>
        <w:spacing w:after="4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114550"/>
                    </a:xfrm>
                    <a:prstGeom prst="rect">
                      <a:avLst/>
                    </a:prstGeom>
                  </pic:spPr>
                </pic:pic>
              </a:graphicData>
            </a:graphic>
          </wp:inline>
        </w:drawing>
      </w:r>
    </w:p>
    <w:p>
      <w:pPr>
        <w:spacing w:after="140" w:before="0"/>
        <w:jc w:val="center"/>
      </w:pPr>
      <w:r>
        <w:rPr>
          <w:rFonts w:ascii="Arial" w:cs="Arial" w:eastAsia="Arial" w:hAnsi="Arial"/>
          <w:i/>
          <w:iCs/>
          <w:color w:val="5F5E5A"/>
          <w:sz w:val="18"/>
          <w:szCs w:val="18"/>
        </w:rPr>
        <w:t xml:space="preserve">Figure 2. Estimated time investment per component with understanding depth achieved</w:t>
      </w:r>
    </w:p>
    <w:p>
      <w:pPr>
        <w:spacing w:after="80" w:before="80"/>
      </w:pPr>
      <w:r>
        <w:t xml:space="preserve"/>
      </w:r>
    </w:p>
    <w:p>
      <w:pPr>
        <w:pStyle w:val="Heading1"/>
        <w:pBdr>
          <w:bottom w:val="single" w:color="2E4057" w:sz="6" w:space="4"/>
        </w:pBdr>
        <w:spacing w:after="100" w:before="280"/>
      </w:pPr>
      <w:r>
        <w:rPr>
          <w:rFonts w:ascii="Arial" w:cs="Arial" w:eastAsia="Arial" w:hAnsi="Arial"/>
          <w:b/>
          <w:bCs/>
          <w:sz w:val="32"/>
          <w:szCs w:val="32"/>
        </w:rPr>
        <w:t xml:space="preserve">Repository Structure</w:t>
      </w:r>
    </w:p>
    <w:p>
      <w:pPr>
        <w:pStyle w:val="ListParagraph"/>
        <w:numPr>
          <w:ilvl w:val="0"/>
          <w:numId w:val="2"/>
        </w:numPr>
        <w:spacing w:after="40" w:before="40"/>
      </w:pPr>
      <w:r>
        <w:rPr>
          <w:rFonts w:ascii="Arial" w:cs="Arial" w:eastAsia="Arial" w:hAnsi="Arial"/>
          <w:color w:val="2C2C2A"/>
          <w:sz w:val="22"/>
          <w:szCs w:val="22"/>
        </w:rPr>
        <w:t xml:space="preserve">/physical — HC10 control scripts, YRC1000 configuration, ROS 2 launch files</w:t>
      </w:r>
    </w:p>
    <w:p>
      <w:pPr>
        <w:pStyle w:val="ListParagraph"/>
        <w:numPr>
          <w:ilvl w:val="0"/>
          <w:numId w:val="2"/>
        </w:numPr>
        <w:spacing w:after="40" w:before="40"/>
      </w:pPr>
      <w:r>
        <w:rPr>
          <w:rFonts w:ascii="Arial" w:cs="Arial" w:eastAsia="Arial" w:hAnsi="Arial"/>
          <w:color w:val="2C2C2A"/>
          <w:sz w:val="22"/>
          <w:szCs w:val="22"/>
        </w:rPr>
        <w:t xml:space="preserve">/vision — OpenCV pipeline, K-means and GMM scripts, confidence calibration notebooks</w:t>
      </w:r>
    </w:p>
    <w:p>
      <w:pPr>
        <w:pStyle w:val="ListParagraph"/>
        <w:numPr>
          <w:ilvl w:val="0"/>
          <w:numId w:val="2"/>
        </w:numPr>
        <w:spacing w:after="40" w:before="40"/>
      </w:pPr>
      <w:r>
        <w:rPr>
          <w:rFonts w:ascii="Arial" w:cs="Arial" w:eastAsia="Arial" w:hAnsi="Arial"/>
          <w:color w:val="2C2C2A"/>
          <w:sz w:val="22"/>
          <w:szCs w:val="22"/>
        </w:rPr>
        <w:t xml:space="preserve">/digital_twin — RoboDK model, API interface, state synchronization loop</w:t>
      </w:r>
    </w:p>
    <w:p>
      <w:pPr>
        <w:pStyle w:val="ListParagraph"/>
        <w:numPr>
          <w:ilvl w:val="0"/>
          <w:numId w:val="2"/>
        </w:numPr>
        <w:spacing w:after="40" w:before="40"/>
      </w:pPr>
      <w:r>
        <w:rPr>
          <w:rFonts w:ascii="Arial" w:cs="Arial" w:eastAsia="Arial" w:hAnsi="Arial"/>
          <w:color w:val="2C2C2A"/>
          <w:sz w:val="22"/>
          <w:szCs w:val="22"/>
        </w:rPr>
        <w:t xml:space="preserve">/modules — Educational module documents (Track A and Track B), assessment instruments</w:t>
      </w:r>
    </w:p>
    <w:p>
      <w:pPr>
        <w:spacing w:after="80" w:before="80"/>
      </w:pPr>
      <w:r>
        <w:t xml:space="preserve"/>
      </w:r>
    </w:p>
    <w:p>
      <w:pPr>
        <w:pStyle w:val="Heading1"/>
        <w:pBdr>
          <w:bottom w:val="single" w:color="2E4057" w:sz="6" w:space="4"/>
        </w:pBdr>
        <w:spacing w:after="100" w:before="280"/>
      </w:pPr>
      <w:r>
        <w:rPr>
          <w:rFonts w:ascii="Arial" w:cs="Arial" w:eastAsia="Arial" w:hAnsi="Arial"/>
          <w:b/>
          <w:bCs/>
          <w:sz w:val="32"/>
          <w:szCs w:val="32"/>
        </w:rPr>
        <w:t xml:space="preserve">Assessment Questions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360"/>
      </w:tblGrid>
      <w:tr>
        <w:tc>
          <w:tcPr>
            <w:tcW w:type="dxa" w:w="8360"/>
            <w:tcBorders>
              <w:top w:val="single" w:color="DDDDDD" w:sz="1"/>
              <w:left w:val="single" w:color="DDDDDD" w:sz="1"/>
              <w:bottom w:val="single" w:color="DDDDDD" w:sz="1"/>
              <w:right w:val="single" w:color="DDDDDD" w:sz="1"/>
            </w:tcBorders>
            <w:shd w:fill="FAEEDA" w:val="clear"/>
            <w:tcMar>
              <w:top w:type="dxa" w:w="120"/>
              <w:left w:type="dxa" w:w="160"/>
              <w:bottom w:type="dxa" w:w="120"/>
              <w:right w:type="dxa" w:w="160"/>
            </w:tcMar>
          </w:tcPr>
          <w:p>
            <w:pPr>
              <w:spacing w:after="80" w:before="40"/>
            </w:pPr>
            <w:r>
              <w:rPr>
                <w:rFonts w:ascii="Arial" w:cs="Arial" w:eastAsia="Arial" w:hAnsi="Arial"/>
                <w:b/>
                <w:bCs/>
                <w:color w:val="854F0B"/>
                <w:sz w:val="22"/>
                <w:szCs w:val="22"/>
              </w:rPr>
              <w:t xml:space="preserve">Reflect before proceeding to Module A2</w:t>
            </w:r>
          </w:p>
          <w:p>
            <w:pPr>
              <w:pStyle w:val="ListParagraph"/>
              <w:numPr>
                <w:ilvl w:val="0"/>
                <w:numId w:val="2"/>
              </w:numPr>
              <w:spacing w:after="40" w:before="40"/>
            </w:pPr>
            <w:r>
              <w:rPr>
                <w:rFonts w:ascii="Arial" w:cs="Arial" w:eastAsia="Arial" w:hAnsi="Arial"/>
                <w:color w:val="2C2C2A"/>
                <w:sz w:val="22"/>
                <w:szCs w:val="22"/>
              </w:rPr>
              <w:t xml:space="preserve">Draw the data flow from the physical robot to the RoboDK visualization. What data crosses each boundary, and at what rate?</w:t>
            </w:r>
          </w:p>
          <w:p>
            <w:pPr>
              <w:pStyle w:val="ListParagraph"/>
              <w:numPr>
                <w:ilvl w:val="0"/>
                <w:numId w:val="2"/>
              </w:numPr>
              <w:spacing w:after="40" w:before="40"/>
            </w:pPr>
            <w:r>
              <w:rPr>
                <w:rFonts w:ascii="Arial" w:cs="Arial" w:eastAsia="Arial" w:hAnsi="Arial"/>
                <w:color w:val="2C2C2A"/>
                <w:sz w:val="22"/>
                <w:szCs w:val="22"/>
              </w:rPr>
              <w:t xml:space="preserve">The YRC1000 interface took approximately 15 hours to understand. What specific aspects contributed most?</w:t>
            </w:r>
          </w:p>
          <w:p>
            <w:pPr>
              <w:pStyle w:val="ListParagraph"/>
              <w:numPr>
                <w:ilvl w:val="0"/>
                <w:numId w:val="2"/>
              </w:numPr>
              <w:spacing w:after="40" w:before="40"/>
            </w:pPr>
            <w:r>
              <w:rPr>
                <w:rFonts w:ascii="Arial" w:cs="Arial" w:eastAsia="Arial" w:hAnsi="Arial"/>
                <w:color w:val="2C2C2A"/>
                <w:sz w:val="22"/>
                <w:szCs w:val="22"/>
              </w:rPr>
              <w:t xml:space="preserve">The confidence threshold is set at 0.607. What information would you need to argue for raising or lowering this value?</w:t>
            </w:r>
          </w:p>
          <w:p>
            <w:pPr>
              <w:pStyle w:val="ListParagraph"/>
              <w:numPr>
                <w:ilvl w:val="0"/>
                <w:numId w:val="2"/>
              </w:numPr>
              <w:spacing w:after="40" w:before="40"/>
            </w:pPr>
            <w:r>
              <w:rPr>
                <w:rFonts w:ascii="Arial" w:cs="Arial" w:eastAsia="Arial" w:hAnsi="Arial"/>
                <w:color w:val="2C2C2A"/>
                <w:sz w:val="22"/>
                <w:szCs w:val="22"/>
              </w:rPr>
              <w:t xml:space="preserve">Which prerequisite domains do you have deep understanding of already? Which will require the most preparation?</w:t>
            </w:r>
          </w:p>
        </w:tc>
      </w:tr>
    </w:tbl>
    <w:p>
      <w:pPr>
        <w:spacing w:after="80" w:before="80"/>
      </w:pPr>
      <w:r>
        <w:t xml:space="preserve"/>
      </w:r>
    </w:p>
    <w:p>
      <w:pPr>
        <w:spacing w:after="100" w:before="60"/>
        <w:jc w:val="both"/>
      </w:pPr>
      <w:r>
        <w:rPr>
          <w:rFonts w:ascii="Arial" w:cs="Arial" w:eastAsia="Arial" w:hAnsi="Arial"/>
          <w:i/>
          <w:iCs/>
          <w:color w:val="888780"/>
          <w:sz w:val="18"/>
          <w:szCs w:val="18"/>
        </w:rPr>
        <w:t xml:space="preserve">References: González-Pérez &amp; Ramírez-Montoya (2022); Lee et al. (2015); Fuller et al. (2020); Eriksson et al. (2022)</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2E4057"/>
      <w:sz w:val="32"/>
      <w:szCs w:val="32"/>
    </w:rPr>
  </w:style>
  <w:style w:type="paragraph" w:styleId="Heading2">
    <w:name w:val="Heading 2"/>
    <w:basedOn w:val="Normal"/>
    <w:next w:val="Normal"/>
    <w:qFormat/>
    <w:pPr>
      <w:spacing w:after="70" w:before="220"/>
      <w:outlineLvl w:val="1"/>
    </w:pPr>
    <w:rPr>
      <w:rFonts w:ascii="Arial" w:cs="Arial" w:eastAsia="Arial" w:hAnsi="Arial"/>
      <w:b/>
      <w:bCs/>
      <w:color w:val="1A6B4A"/>
      <w:sz w:val="26"/>
      <w:szCs w:val="26"/>
    </w:rPr>
  </w:style>
  <w:style w:type="paragraph" w:styleId="Heading3">
    <w:name w:val="Heading 3"/>
    <w:basedOn w:val="Normal"/>
    <w:next w:val="Normal"/>
    <w:qFormat/>
    <w:pPr>
      <w:spacing w:after="60" w:before="160"/>
      <w:outlineLvl w:val="2"/>
    </w:pPr>
    <w:rPr>
      <w:rFonts w:ascii="Arial" w:cs="Arial" w:eastAsia="Arial" w:hAnsi="Arial"/>
      <w:b/>
      <w:bCs/>
      <w:color w:val="3C348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4ccd1e3f7d8c3ec3ea483e75a97ddebff02145e.png"/><Relationship Id="rId8" Type="http://schemas.openxmlformats.org/officeDocument/2006/relationships/image" Target="media/e0523d9fce7575ec37f5b6134a297c1142119c5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2026-05-09T09:50:33.707Z</dcterms:created>
  <dcterms:modified xsi:type="dcterms:W3CDTF">2026-05-09T09:50:33.707Z</dcterms:modified>
</cp:coreProperties>
</file>

<file path=docProps/custom.xml><?xml version="1.0" encoding="utf-8"?>
<Properties xmlns="http://schemas.openxmlformats.org/officeDocument/2006/custom-properties" xmlns:vt="http://schemas.openxmlformats.org/officeDocument/2006/docPropsVTypes"/>
</file>