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6E56" w:val="clear"/>
        <w:spacing w:after="0" w:before="0"/>
        <w:jc w:val="center"/>
      </w:pPr>
      <w:r>
        <w:rPr>
          <w:rFonts w:ascii="Arial" w:cs="Arial" w:eastAsia="Arial" w:hAnsi="Arial"/>
          <w:b/>
          <w:bCs/>
          <w:color w:val="FFFFFF"/>
          <w:sz w:val="20"/>
          <w:szCs w:val="20"/>
        </w:rPr>
        <w:t xml:space="preserve">TRACK B — STUDENT LEARNING MODULES</w:t>
      </w:r>
    </w:p>
    <w:p>
      <w:pPr>
        <w:spacing w:after="60" w:before="200"/>
        <w:jc w:val="center"/>
      </w:pPr>
      <w:r>
        <w:rPr>
          <w:rFonts w:ascii="Arial" w:cs="Arial" w:eastAsia="Arial" w:hAnsi="Arial"/>
          <w:b/>
          <w:bCs/>
          <w:color w:val="085041"/>
          <w:sz w:val="36"/>
          <w:szCs w:val="36"/>
        </w:rPr>
        <w:t xml:space="preserve">Module B2: Vision, Uncertainty &amp; Confidence Scoring</w:t>
      </w:r>
    </w:p>
    <w:p>
      <w:pPr>
        <w:spacing w:after="60" w:before="0"/>
        <w:jc w:val="center"/>
      </w:pPr>
      <w:r>
        <w:rPr>
          <w:rFonts w:ascii="Arial" w:cs="Arial" w:eastAsia="Arial" w:hAnsi="Arial"/>
          <w:color w:val="888780"/>
          <w:sz w:val="20"/>
          <w:szCs w:val="20"/>
        </w:rPr>
        <w:t xml:space="preserve">Audience: IE / MfgE students — lab access required   |   Estimated time: 90 minutes</w:t>
      </w:r>
    </w:p>
    <w:p>
      <w:pPr>
        <w:spacing w:after="240" w:before="0"/>
        <w:jc w:val="center"/>
      </w:pPr>
      <w:r>
        <w:rPr>
          <w:rFonts w:ascii="Arial" w:cs="Arial" w:eastAsia="Arial" w:hAnsi="Arial"/>
          <w:i/>
          <w:iCs/>
          <w:color w:val="AAAAAA"/>
          <w:sz w:val="18"/>
          <w:szCs w:val="18"/>
        </w:rPr>
        <w:t xml:space="preserve">Cal Poly SLO  ·  Industrial &amp; Manufacturing Engineering  ·  Digital Twin Project</w:t>
      </w:r>
    </w:p>
    <w:p>
      <w:pPr>
        <w:pStyle w:val="Heading1"/>
        <w:pBdr>
          <w:bottom w:val="single" w:color="085041" w:sz="6" w:space="4"/>
        </w:pBdr>
        <w:spacing w:after="100" w:before="280"/>
      </w:pPr>
      <w:r>
        <w:rPr>
          <w:rFonts w:ascii="Arial" w:cs="Arial" w:eastAsia="Arial" w:hAnsi="Arial"/>
          <w:b/>
          <w:bCs/>
          <w:sz w:val="32"/>
          <w:szCs w:val="32"/>
        </w:rPr>
        <w:t xml:space="preserve">Introduction</w:t>
      </w:r>
    </w:p>
    <w:p>
      <w:pPr>
        <w:spacing w:after="100" w:before="60"/>
        <w:jc w:val="both"/>
      </w:pPr>
      <w:r>
        <w:rPr>
          <w:rFonts w:ascii="Arial" w:cs="Arial" w:eastAsia="Arial" w:hAnsi="Arial"/>
          <w:color w:val="2C2C2A"/>
          <w:sz w:val="22"/>
          <w:szCs w:val="22"/>
        </w:rPr>
        <w:t xml:space="preserve">Automated systems often fail not because they encounter something unmanageable, but because they do not know they cannot manage it. A robot that misclassifies an object with wrong certainty causes more damage than one that pauses to ask. This module builds your understanding of how the vision system quantifies its own uncertainty.</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80" w:before="40"/>
            </w:pPr>
            <w:r>
              <w:rPr>
                <w:rFonts w:ascii="Arial" w:cs="Arial" w:eastAsia="Arial" w:hAnsi="Arial"/>
                <w:b/>
                <w:bCs/>
                <w:color w:val="0F6E56"/>
                <w:sz w:val="22"/>
                <w:szCs w:val="22"/>
              </w:rPr>
              <w:t xml:space="preserve">Learning objectives</w:t>
            </w:r>
          </w:p>
          <w:p>
            <w:pPr>
              <w:pStyle w:val="ListParagraph"/>
              <w:numPr>
                <w:ilvl w:val="0"/>
                <w:numId w:val="2"/>
              </w:numPr>
              <w:spacing w:after="40" w:before="40"/>
            </w:pPr>
            <w:r>
              <w:rPr>
                <w:rFonts w:ascii="Arial" w:cs="Arial" w:eastAsia="Arial" w:hAnsi="Arial"/>
                <w:color w:val="2C2C2A"/>
                <w:sz w:val="22"/>
                <w:szCs w:val="22"/>
              </w:rPr>
              <w:t xml:space="preserve">Explain how HSV color extraction and K-means clustering produce a classification</w:t>
            </w:r>
          </w:p>
          <w:p>
            <w:pPr>
              <w:pStyle w:val="ListParagraph"/>
              <w:numPr>
                <w:ilvl w:val="0"/>
                <w:numId w:val="2"/>
              </w:numPr>
              <w:spacing w:after="40" w:before="40"/>
            </w:pPr>
            <w:r>
              <w:rPr>
                <w:rFonts w:ascii="Arial" w:cs="Arial" w:eastAsia="Arial" w:hAnsi="Arial"/>
                <w:color w:val="2C2C2A"/>
                <w:sz w:val="22"/>
                <w:szCs w:val="22"/>
              </w:rPr>
              <w:t xml:space="preserve">Interpret a confidence score and explain what drives it higher or lower</w:t>
            </w:r>
          </w:p>
          <w:p>
            <w:pPr>
              <w:pStyle w:val="ListParagraph"/>
              <w:numPr>
                <w:ilvl w:val="0"/>
                <w:numId w:val="2"/>
              </w:numPr>
              <w:spacing w:after="40" w:before="40"/>
            </w:pPr>
            <w:r>
              <w:rPr>
                <w:rFonts w:ascii="Arial" w:cs="Arial" w:eastAsia="Arial" w:hAnsi="Arial"/>
                <w:color w:val="2C2C2A"/>
                <w:sz w:val="22"/>
                <w:szCs w:val="22"/>
              </w:rPr>
              <w:t xml:space="preserve">Identify the physical conditions that push confidence below the intervention threshold</w:t>
            </w:r>
          </w:p>
          <w:p>
            <w:pPr>
              <w:pStyle w:val="ListParagraph"/>
              <w:numPr>
                <w:ilvl w:val="0"/>
                <w:numId w:val="2"/>
              </w:numPr>
              <w:spacing w:after="40" w:before="40"/>
            </w:pPr>
            <w:r>
              <w:rPr>
                <w:rFonts w:ascii="Arial" w:cs="Arial" w:eastAsia="Arial" w:hAnsi="Arial"/>
                <w:color w:val="2C2C2A"/>
                <w:sz w:val="22"/>
                <w:szCs w:val="22"/>
              </w:rPr>
              <w:t xml:space="preserve">Predict, before running a trial, whether a scenario will trigger human intervention</w:t>
            </w:r>
          </w:p>
          <w:p>
            <w:pPr>
              <w:pStyle w:val="ListParagraph"/>
              <w:numPr>
                <w:ilvl w:val="0"/>
                <w:numId w:val="2"/>
              </w:numPr>
              <w:spacing w:after="40" w:before="40"/>
            </w:pPr>
            <w:r>
              <w:rPr>
                <w:rFonts w:ascii="Arial" w:cs="Arial" w:eastAsia="Arial" w:hAnsi="Arial"/>
                <w:color w:val="2C2C2A"/>
                <w:sz w:val="22"/>
                <w:szCs w:val="22"/>
              </w:rPr>
              <w:t xml:space="preserve">Explain the tradeoff between setting the threshold higher vs. lower</w:t>
            </w:r>
          </w:p>
        </w:tc>
      </w:tr>
    </w:tbl>
    <w:p>
      <w:pPr>
        <w:spacing w:after="80" w:before="80"/>
      </w:pPr>
      <w:r>
        <w:t xml:space="preserve"/>
      </w:r>
    </w:p>
    <w:p>
      <w:pPr>
        <w:pStyle w:val="Heading1"/>
        <w:pBdr>
          <w:bottom w:val="single" w:color="085041" w:sz="6" w:space="4"/>
        </w:pBdr>
        <w:spacing w:after="100" w:before="280"/>
      </w:pPr>
      <w:r>
        <w:rPr>
          <w:rFonts w:ascii="Arial" w:cs="Arial" w:eastAsia="Arial" w:hAnsi="Arial"/>
          <w:b/>
          <w:bCs/>
          <w:sz w:val="32"/>
          <w:szCs w:val="32"/>
        </w:rPr>
        <w:t xml:space="preserve">How the Vision System Works</w:t>
      </w:r>
    </w:p>
    <w:p>
      <w:pPr>
        <w:pStyle w:val="Heading2"/>
        <w:spacing w:after="70" w:before="220"/>
      </w:pPr>
      <w:r>
        <w:rPr>
          <w:rFonts w:ascii="Arial" w:cs="Arial" w:eastAsia="Arial" w:hAnsi="Arial"/>
          <w:b/>
          <w:bCs/>
          <w:sz w:val="26"/>
          <w:szCs w:val="26"/>
        </w:rPr>
        <w:t xml:space="preserve">Stage 1: HSV color extraction</w:t>
      </w:r>
    </w:p>
    <w:p>
      <w:pPr>
        <w:spacing w:after="100" w:before="60"/>
        <w:jc w:val="both"/>
      </w:pPr>
      <w:r>
        <w:rPr>
          <w:rFonts w:ascii="Arial" w:cs="Arial" w:eastAsia="Arial" w:hAnsi="Arial"/>
          <w:color w:val="2C2C2A"/>
          <w:sz w:val="22"/>
          <w:szCs w:val="22"/>
        </w:rPr>
        <w:t xml:space="preserve">Each pixel is converted from RGB to HSV. HSV separates color identity (hue) from lighting effects (value), making classification more robust to ambient light variation. Significant lighting changes — a shadow, a different lamp — can shift an object's HSV values outside its trained range. This is the most common cause of sudden confidence degradation.</w:t>
      </w:r>
    </w:p>
    <w:p>
      <w:pPr>
        <w:pStyle w:val="Heading2"/>
        <w:spacing w:after="70" w:before="220"/>
      </w:pPr>
      <w:r>
        <w:rPr>
          <w:rFonts w:ascii="Arial" w:cs="Arial" w:eastAsia="Arial" w:hAnsi="Arial"/>
          <w:b/>
          <w:bCs/>
          <w:sz w:val="26"/>
          <w:szCs w:val="26"/>
        </w:rPr>
        <w:t xml:space="preserve">Stage 2: K-means classification</w:t>
      </w:r>
    </w:p>
    <w:p>
      <w:pPr>
        <w:spacing w:after="100" w:before="60"/>
        <w:jc w:val="both"/>
      </w:pPr>
      <w:r>
        <w:rPr>
          <w:rFonts w:ascii="Arial" w:cs="Arial" w:eastAsia="Arial" w:hAnsi="Arial"/>
          <w:color w:val="2C2C2A"/>
          <w:sz w:val="22"/>
          <w:szCs w:val="22"/>
        </w:rPr>
        <w:t xml:space="preserve">Each detected object is characterized by its average HSV values and shape geometry. K-means assigns it to the nearest cluster centroid. Confidence score: 1 minus the normalized distance from the observation to its nearest centroid. An observation on a centroid scores 1.0; one equidistant between two centroids scores near 0.5.</w:t>
      </w:r>
    </w:p>
    <w:p>
      <w:pPr>
        <w:pStyle w:val="Heading2"/>
        <w:spacing w:after="70" w:before="220"/>
      </w:pPr>
      <w:r>
        <w:rPr>
          <w:rFonts w:ascii="Arial" w:cs="Arial" w:eastAsia="Arial" w:hAnsi="Arial"/>
          <w:b/>
          <w:bCs/>
          <w:sz w:val="26"/>
          <w:szCs w:val="26"/>
        </w:rPr>
        <w:t xml:space="preserve">Stage 3: Threshold comparison</w:t>
      </w:r>
    </w:p>
    <w:p>
      <w:pPr>
        <w:spacing w:after="100" w:before="60"/>
        <w:jc w:val="both"/>
      </w:pPr>
      <w:r>
        <w:rPr>
          <w:rFonts w:ascii="Arial" w:cs="Arial" w:eastAsia="Arial" w:hAnsi="Arial"/>
          <w:color w:val="2C2C2A"/>
          <w:sz w:val="22"/>
          <w:szCs w:val="22"/>
        </w:rPr>
        <w:t xml:space="preserve">The confidence score is compared to the calibrated threshold (0.607). Above: robot proceeds autonomously. Below: system pauses and routes to an operator. The threshold was calibrated empirically for this specific task and objects.</w:t>
      </w:r>
    </w:p>
    <w:p>
      <w:pPr>
        <w:spacing w:after="80" w:before="80"/>
      </w:pPr>
      <w:r>
        <w:t xml:space="preserve"/>
      </w:r>
    </w:p>
    <w:p>
      <w:pPr>
        <w:spacing w:after="4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114550"/>
                    </a:xfrm>
                    <a:prstGeom prst="rect">
                      <a:avLst/>
                    </a:prstGeom>
                  </pic:spPr>
                </pic:pic>
              </a:graphicData>
            </a:graphic>
          </wp:inline>
        </w:drawing>
      </w:r>
    </w:p>
    <w:p>
      <w:pPr>
        <w:spacing w:after="140" w:before="0"/>
        <w:jc w:val="center"/>
      </w:pPr>
      <w:r>
        <w:rPr>
          <w:rFonts w:ascii="Arial" w:cs="Arial" w:eastAsia="Arial" w:hAnsi="Arial"/>
          <w:i/>
          <w:iCs/>
          <w:color w:val="5F5E5A"/>
          <w:sz w:val="18"/>
          <w:szCs w:val="18"/>
        </w:rPr>
        <w:t xml:space="preserve">Figure 1. Confidence score distributions showing the intervention zone and autonomous execution zone</w:t>
      </w:r>
    </w:p>
    <w:p>
      <w:pPr>
        <w:spacing w:after="80" w:before="80"/>
      </w:pPr>
      <w:r>
        <w:t xml:space="preserve"/>
      </w:r>
    </w:p>
    <w:p>
      <w:pPr>
        <w:pStyle w:val="Heading1"/>
        <w:pBdr>
          <w:bottom w:val="single" w:color="085041" w:sz="6" w:space="4"/>
        </w:pBdr>
        <w:spacing w:after="100" w:before="280"/>
      </w:pPr>
      <w:r>
        <w:rPr>
          <w:rFonts w:ascii="Arial" w:cs="Arial" w:eastAsia="Arial" w:hAnsi="Arial"/>
          <w:b/>
          <w:bCs/>
          <w:sz w:val="32"/>
          <w:szCs w:val="32"/>
        </w:rPr>
        <w:t xml:space="preserve">Lab Activity: Inducing and Observing Low Confidence</w:t>
      </w:r>
    </w:p>
    <w:p>
      <w:pPr>
        <w:pStyle w:val="Heading2"/>
        <w:spacing w:after="70" w:before="220"/>
      </w:pPr>
      <w:r>
        <w:rPr>
          <w:rFonts w:ascii="Arial" w:cs="Arial" w:eastAsia="Arial" w:hAnsi="Arial"/>
          <w:b/>
          <w:bCs/>
          <w:sz w:val="26"/>
          <w:szCs w:val="26"/>
        </w:rPr>
        <w:t xml:space="preserve">Pre-lab prediction (complete before the lab)</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960"/>
      </w:tblGrid>
      <w:tr>
        <w:tc>
          <w:tcPr>
            <w:tcW w:type="dxa" w:w="2800"/>
            <w:tcBorders>
              <w:top w:val="single" w:color="DDDDDD" w:sz="1"/>
              <w:left w:val="single" w:color="DDDDDD" w:sz="1"/>
              <w:bottom w:val="single" w:color="DDDDDD" w:sz="1"/>
              <w:right w:val="single" w:color="DDDDDD" w:sz="1"/>
            </w:tcBorders>
            <w:shd w:fill="3C3489"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1600"/>
            <w:tcBorders>
              <w:top w:val="single" w:color="DDDDDD" w:sz="1"/>
              <w:left w:val="single" w:color="DDDDDD" w:sz="1"/>
              <w:bottom w:val="single" w:color="DDDDDD" w:sz="1"/>
              <w:right w:val="single" w:color="DDDDDD" w:sz="1"/>
            </w:tcBorders>
            <w:shd w:fill="3C3489" w:val="clear"/>
            <w:tcMar>
              <w:top w:type="dxa" w:w="100"/>
              <w:left w:type="dxa" w:w="140"/>
              <w:bottom w:type="dxa" w:w="100"/>
              <w:right w:type="dxa" w:w="140"/>
            </w:tcMar>
          </w:tcPr>
          <w:p>
            <w:r>
              <w:rPr>
                <w:rFonts w:ascii="Arial" w:cs="Arial" w:eastAsia="Arial" w:hAnsi="Arial"/>
                <w:b/>
                <w:bCs/>
                <w:color w:val="FFFFFF"/>
                <w:sz w:val="20"/>
                <w:szCs w:val="20"/>
              </w:rPr>
              <w:t xml:space="preserve">Your prediction</w:t>
            </w:r>
          </w:p>
        </w:tc>
        <w:tc>
          <w:tcPr>
            <w:tcW w:type="dxa" w:w="3960"/>
            <w:tcBorders>
              <w:top w:val="single" w:color="DDDDDD" w:sz="1"/>
              <w:left w:val="single" w:color="DDDDDD" w:sz="1"/>
              <w:bottom w:val="single" w:color="DDDDDD" w:sz="1"/>
              <w:right w:val="single" w:color="DDDDDD" w:sz="1"/>
            </w:tcBorders>
            <w:shd w:fill="3C3489" w:val="clear"/>
            <w:tcMar>
              <w:top w:type="dxa" w:w="100"/>
              <w:left w:type="dxa" w:w="140"/>
              <w:bottom w:type="dxa" w:w="100"/>
              <w:right w:type="dxa" w:w="140"/>
            </w:tcMar>
          </w:tcPr>
          <w:p>
            <w:r>
              <w:rPr>
                <w:rFonts w:ascii="Arial" w:cs="Arial" w:eastAsia="Arial" w:hAnsi="Arial"/>
                <w:b/>
                <w:bCs/>
                <w:color w:val="FFFFFF"/>
                <w:sz w:val="20"/>
                <w:szCs w:val="20"/>
              </w:rPr>
              <w:t xml:space="preserve">Reasoning</w:t>
            </w:r>
          </w:p>
        </w:tc>
      </w:tr>
      <w:tr>
        <w:tc>
          <w:tcPr>
            <w:tcW w:type="dxa" w:w="28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Normal conditions (baseline)</w:t>
            </w:r>
          </w:p>
        </w:tc>
        <w:tc>
          <w:tcPr>
            <w:tcW w:type="dxa" w:w="16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
            </w:r>
          </w:p>
        </w:tc>
        <w:tc>
          <w:tcPr>
            <w:tcW w:type="dxa" w:w="396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
            </w:r>
          </w:p>
        </w:tc>
      </w:tr>
      <w:tr>
        <w:tc>
          <w:tcPr>
            <w:tcW w:type="dxa" w:w="28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Object partially occluded</w:t>
            </w:r>
          </w:p>
        </w:tc>
        <w:tc>
          <w:tcPr>
            <w:tcW w:type="dxa" w:w="16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
            </w:r>
          </w:p>
        </w:tc>
        <w:tc>
          <w:tcPr>
            <w:tcW w:type="dxa" w:w="396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
            </w:r>
          </w:p>
        </w:tc>
      </w:tr>
      <w:tr>
        <w:tc>
          <w:tcPr>
            <w:tcW w:type="dxa" w:w="28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Shadow cast across workspace</w:t>
            </w:r>
          </w:p>
        </w:tc>
        <w:tc>
          <w:tcPr>
            <w:tcW w:type="dxa" w:w="16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
            </w:r>
          </w:p>
        </w:tc>
        <w:tc>
          <w:tcPr>
            <w:tcW w:type="dxa" w:w="396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
            </w:r>
          </w:p>
        </w:tc>
      </w:tr>
      <w:tr>
        <w:tc>
          <w:tcPr>
            <w:tcW w:type="dxa" w:w="28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Two objects of similar color</w:t>
            </w:r>
          </w:p>
        </w:tc>
        <w:tc>
          <w:tcPr>
            <w:tcW w:type="dxa" w:w="16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
            </w:r>
          </w:p>
        </w:tc>
        <w:tc>
          <w:tcPr>
            <w:tcW w:type="dxa" w:w="396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
            </w:r>
          </w:p>
        </w:tc>
      </w:tr>
      <w:tr>
        <w:tc>
          <w:tcPr>
            <w:tcW w:type="dxa" w:w="28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Object rotated 90° from training</w:t>
            </w:r>
          </w:p>
        </w:tc>
        <w:tc>
          <w:tcPr>
            <w:tcW w:type="dxa" w:w="16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
            </w:r>
          </w:p>
        </w:tc>
        <w:tc>
          <w:tcPr>
            <w:tcW w:type="dxa" w:w="396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
            </w:r>
          </w:p>
        </w:tc>
      </w:tr>
    </w:tbl>
    <w:p>
      <w:pPr>
        <w:spacing w:after="80" w:before="80"/>
      </w:pPr>
      <w:r>
        <w:t xml:space="preserve"/>
      </w:r>
    </w:p>
    <w:p>
      <w:pPr>
        <w:pStyle w:val="Heading2"/>
        <w:spacing w:after="70" w:before="220"/>
      </w:pPr>
      <w:r>
        <w:rPr>
          <w:rFonts w:ascii="Arial" w:cs="Arial" w:eastAsia="Arial" w:hAnsi="Arial"/>
          <w:b/>
          <w:bCs/>
          <w:sz w:val="26"/>
          <w:szCs w:val="26"/>
        </w:rPr>
        <w:t xml:space="preserve">Lab observations (complete during lab)</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3560"/>
      </w:tblGrid>
      <w:tr>
        <w:tc>
          <w:tcPr>
            <w:tcW w:type="dxa" w:w="20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14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Conf. score</w:t>
            </w:r>
          </w:p>
        </w:tc>
        <w:tc>
          <w:tcPr>
            <w:tcW w:type="dxa" w:w="140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Prediction correct?</w:t>
            </w:r>
          </w:p>
        </w:tc>
        <w:tc>
          <w:tcPr>
            <w:tcW w:type="dxa" w:w="3560"/>
            <w:tcBorders>
              <w:top w:val="single" w:color="DDDDDD" w:sz="1"/>
              <w:left w:val="single" w:color="DDDDDD" w:sz="1"/>
              <w:bottom w:val="single" w:color="DDDDDD" w:sz="1"/>
              <w:right w:val="single" w:color="DDDDDD" w:sz="1"/>
            </w:tcBorders>
            <w:shd w:fill="085041" w:val="clear"/>
            <w:tcMar>
              <w:top w:type="dxa" w:w="100"/>
              <w:left w:type="dxa" w:w="140"/>
              <w:bottom w:type="dxa" w:w="100"/>
              <w:right w:type="dxa" w:w="140"/>
            </w:tcMar>
          </w:tcPr>
          <w:p>
            <w:r>
              <w:rPr>
                <w:rFonts w:ascii="Arial" w:cs="Arial" w:eastAsia="Arial" w:hAnsi="Arial"/>
                <w:b/>
                <w:bCs/>
                <w:color w:val="FFFFFF"/>
                <w:sz w:val="20"/>
                <w:szCs w:val="20"/>
              </w:rPr>
              <w:t xml:space="preserve">Notes on camera view</w:t>
            </w:r>
          </w:p>
        </w:tc>
      </w:tr>
      <w:tr>
        <w:tc>
          <w:tcPr>
            <w:tcW w:type="dxa" w:w="20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Baseline</w:t>
            </w:r>
          </w:p>
        </w:tc>
        <w:tc>
          <w:tcPr>
            <w:tcW w:type="dxa" w:w="14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
            </w:r>
          </w:p>
        </w:tc>
        <w:tc>
          <w:tcPr>
            <w:tcW w:type="dxa" w:w="14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
            </w:r>
          </w:p>
        </w:tc>
        <w:tc>
          <w:tcPr>
            <w:tcW w:type="dxa" w:w="356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
            </w:r>
          </w:p>
        </w:tc>
      </w:tr>
      <w:tr>
        <w:tc>
          <w:tcPr>
            <w:tcW w:type="dxa" w:w="20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Occlusion</w:t>
            </w:r>
          </w:p>
        </w:tc>
        <w:tc>
          <w:tcPr>
            <w:tcW w:type="dxa" w:w="14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
            </w:r>
          </w:p>
        </w:tc>
        <w:tc>
          <w:tcPr>
            <w:tcW w:type="dxa" w:w="14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
            </w:r>
          </w:p>
        </w:tc>
        <w:tc>
          <w:tcPr>
            <w:tcW w:type="dxa" w:w="356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
            </w:r>
          </w:p>
        </w:tc>
      </w:tr>
      <w:tr>
        <w:tc>
          <w:tcPr>
            <w:tcW w:type="dxa" w:w="20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Shadow</w:t>
            </w:r>
          </w:p>
        </w:tc>
        <w:tc>
          <w:tcPr>
            <w:tcW w:type="dxa" w:w="14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
            </w:r>
          </w:p>
        </w:tc>
        <w:tc>
          <w:tcPr>
            <w:tcW w:type="dxa" w:w="14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
            </w:r>
          </w:p>
        </w:tc>
        <w:tc>
          <w:tcPr>
            <w:tcW w:type="dxa" w:w="356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
            </w:r>
          </w:p>
        </w:tc>
      </w:tr>
      <w:tr>
        <w:tc>
          <w:tcPr>
            <w:tcW w:type="dxa" w:w="20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Similar color</w:t>
            </w:r>
          </w:p>
        </w:tc>
        <w:tc>
          <w:tcPr>
            <w:tcW w:type="dxa" w:w="14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
            </w:r>
          </w:p>
        </w:tc>
        <w:tc>
          <w:tcPr>
            <w:tcW w:type="dxa" w:w="140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
            </w:r>
          </w:p>
        </w:tc>
        <w:tc>
          <w:tcPr>
            <w:tcW w:type="dxa" w:w="3560"/>
            <w:tcBorders>
              <w:top w:val="single" w:color="DDDDDD" w:sz="1"/>
              <w:left w:val="single" w:color="DDDDDD" w:sz="1"/>
              <w:bottom w:val="single" w:color="DDDDDD" w:sz="1"/>
              <w:right w:val="single" w:color="DDDDDD" w:sz="1"/>
            </w:tcBorders>
            <w:tcMar>
              <w:top w:type="dxa" w:w="180"/>
              <w:left w:type="dxa" w:w="140"/>
              <w:bottom w:type="dxa" w:w="180"/>
              <w:right w:type="dxa" w:w="140"/>
            </w:tcMar>
          </w:tcPr>
          <w:p>
            <w:r>
              <w:rPr>
                <w:rFonts w:ascii="Arial" w:cs="Arial" w:eastAsia="Arial" w:hAnsi="Arial"/>
                <w:sz w:val="20"/>
                <w:szCs w:val="20"/>
              </w:rPr>
              <w:t xml:space="preserve"/>
            </w:r>
          </w:p>
        </w:tc>
      </w:tr>
      <w:tr>
        <w:tc>
          <w:tcPr>
            <w:tcW w:type="dxa" w:w="20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Rotated 90°</w:t>
            </w:r>
          </w:p>
        </w:tc>
        <w:tc>
          <w:tcPr>
            <w:tcW w:type="dxa" w:w="14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
            </w:r>
          </w:p>
        </w:tc>
        <w:tc>
          <w:tcPr>
            <w:tcW w:type="dxa" w:w="140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
            </w:r>
          </w:p>
        </w:tc>
        <w:tc>
          <w:tcPr>
            <w:tcW w:type="dxa" w:w="3560"/>
            <w:tcBorders>
              <w:top w:val="single" w:color="DDDDDD" w:sz="1"/>
              <w:left w:val="single" w:color="DDDDDD" w:sz="1"/>
              <w:bottom w:val="single" w:color="DDDDDD" w:sz="1"/>
              <w:right w:val="single" w:color="DDDDDD" w:sz="1"/>
            </w:tcBorders>
            <w:shd w:fill="F8F8F8" w:val="clear"/>
            <w:tcMar>
              <w:top w:type="dxa" w:w="180"/>
              <w:left w:type="dxa" w:w="140"/>
              <w:bottom w:type="dxa" w:w="180"/>
              <w:right w:type="dxa" w:w="140"/>
            </w:tcMar>
          </w:tcPr>
          <w:p>
            <w:r>
              <w:rPr>
                <w:rFonts w:ascii="Arial" w:cs="Arial" w:eastAsia="Arial" w:hAnsi="Arial"/>
                <w:sz w:val="20"/>
                <w:szCs w:val="20"/>
              </w:rPr>
              <w:t xml:space="preserve"/>
            </w:r>
          </w:p>
        </w:tc>
      </w:tr>
    </w:tbl>
    <w:p>
      <w:pPr>
        <w:spacing w:after="80" w:before="80"/>
      </w:pPr>
      <w:r>
        <w:t xml:space="preserve"/>
      </w:r>
    </w:p>
    <w:p>
      <w:pPr>
        <w:pStyle w:val="Heading1"/>
        <w:pBdr>
          <w:bottom w:val="single" w:color="085041" w:sz="6" w:space="4"/>
        </w:pBdr>
        <w:spacing w:after="100" w:before="280"/>
      </w:pPr>
      <w:r>
        <w:rPr>
          <w:rFonts w:ascii="Arial" w:cs="Arial" w:eastAsia="Arial" w:hAnsi="Arial"/>
          <w:b/>
          <w:bCs/>
          <w:sz w:val="32"/>
          <w:szCs w:val="32"/>
        </w:rPr>
        <w:t xml:space="preserve">Threshold Tradeoff Analysis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100"/>
        <w:gridCol w:w="4260"/>
      </w:tblGrid>
      <w:tr>
        <w:tc>
          <w:tcPr>
            <w:tcW w:type="dxa" w:w="4100"/>
            <w:tcBorders>
              <w:top w:val="single" w:color="DDDDDD" w:sz="1"/>
              <w:left w:val="single" w:color="DDDDDD" w:sz="1"/>
              <w:bottom w:val="single" w:color="DDDDDD" w:sz="1"/>
              <w:right w:val="single" w:color="DDDDDD" w:sz="1"/>
            </w:tcBorders>
            <w:shd w:fill="EEEDFE" w:val="clear"/>
            <w:tcMar>
              <w:top w:type="dxa" w:w="100"/>
              <w:left w:type="dxa" w:w="140"/>
              <w:bottom w:type="dxa" w:w="100"/>
              <w:right w:type="dxa" w:w="140"/>
            </w:tcMar>
          </w:tcPr>
          <w:p>
            <w:pPr>
              <w:spacing w:after="80" w:before="40"/>
            </w:pPr>
            <w:r>
              <w:rPr>
                <w:rFonts w:ascii="Arial" w:cs="Arial" w:eastAsia="Arial" w:hAnsi="Arial"/>
                <w:b/>
                <w:bCs/>
                <w:color w:val="3C3489"/>
                <w:sz w:val="22"/>
                <w:szCs w:val="22"/>
              </w:rPr>
              <w:t xml:space="preserve">Threshold raised to 0.80</w:t>
            </w:r>
          </w:p>
          <w:p>
            <w:pPr>
              <w:pStyle w:val="ListParagraph"/>
              <w:numPr>
                <w:ilvl w:val="0"/>
                <w:numId w:val="2"/>
              </w:numPr>
              <w:spacing w:after="40" w:before="40"/>
            </w:pPr>
            <w:r>
              <w:rPr>
                <w:rFonts w:ascii="Arial" w:cs="Arial" w:eastAsia="Arial" w:hAnsi="Arial"/>
                <w:color w:val="2C2C2A"/>
                <w:sz w:val="22"/>
                <w:szCs w:val="22"/>
              </w:rPr>
              <w:t xml:space="preserve">More human interventions: every borderline case is reviewed</w:t>
            </w:r>
          </w:p>
          <w:p>
            <w:pPr>
              <w:pStyle w:val="ListParagraph"/>
              <w:numPr>
                <w:ilvl w:val="0"/>
                <w:numId w:val="2"/>
              </w:numPr>
              <w:spacing w:after="40" w:before="40"/>
            </w:pPr>
            <w:r>
              <w:rPr>
                <w:rFonts w:ascii="Arial" w:cs="Arial" w:eastAsia="Arial" w:hAnsi="Arial"/>
                <w:color w:val="2C2C2A"/>
                <w:sz w:val="22"/>
                <w:szCs w:val="22"/>
              </w:rPr>
              <w:t xml:space="preserve">Higher autonomous accuracy rate</w:t>
            </w:r>
          </w:p>
          <w:p>
            <w:pPr>
              <w:pStyle w:val="ListParagraph"/>
              <w:numPr>
                <w:ilvl w:val="0"/>
                <w:numId w:val="2"/>
              </w:numPr>
              <w:spacing w:after="40" w:before="40"/>
            </w:pPr>
            <w:r>
              <w:rPr>
                <w:rFonts w:ascii="Arial" w:cs="Arial" w:eastAsia="Arial" w:hAnsi="Arial"/>
                <w:color w:val="2C2C2A"/>
                <w:sz w:val="22"/>
                <w:szCs w:val="22"/>
              </w:rPr>
              <w:t xml:space="preserve">Longer cycle times overall</w:t>
            </w:r>
          </w:p>
          <w:p>
            <w:pPr>
              <w:pStyle w:val="ListParagraph"/>
              <w:numPr>
                <w:ilvl w:val="0"/>
                <w:numId w:val="2"/>
              </w:numPr>
              <w:spacing w:after="40" w:before="40"/>
            </w:pPr>
            <w:r>
              <w:rPr>
                <w:rFonts w:ascii="Arial" w:cs="Arial" w:eastAsia="Arial" w:hAnsi="Arial"/>
                <w:color w:val="2C2C2A"/>
                <w:sz w:val="22"/>
                <w:szCs w:val="22"/>
              </w:rPr>
              <w:t xml:space="preserve">Use when cost of errors is high (e.g., surgical assembly)</w:t>
            </w:r>
          </w:p>
        </w:tc>
        <w:tc>
          <w:tcPr>
            <w:tcW w:type="dxa" w:w="4260"/>
            <w:tcBorders>
              <w:top w:val="single" w:color="DDDDDD" w:sz="1"/>
              <w:left w:val="single" w:color="DDDDDD" w:sz="1"/>
              <w:bottom w:val="single" w:color="DDDDDD" w:sz="1"/>
              <w:right w:val="single" w:color="DDDDDD" w:sz="1"/>
            </w:tcBorders>
            <w:shd w:fill="E1F5EE" w:val="clear"/>
            <w:tcMar>
              <w:top w:type="dxa" w:w="100"/>
              <w:left w:type="dxa" w:w="140"/>
              <w:bottom w:type="dxa" w:w="100"/>
              <w:right w:type="dxa" w:w="140"/>
            </w:tcMar>
          </w:tcPr>
          <w:p>
            <w:pPr>
              <w:spacing w:after="80" w:before="40"/>
            </w:pPr>
            <w:r>
              <w:rPr>
                <w:rFonts w:ascii="Arial" w:cs="Arial" w:eastAsia="Arial" w:hAnsi="Arial"/>
                <w:b/>
                <w:bCs/>
                <w:color w:val="085041"/>
                <w:sz w:val="22"/>
                <w:szCs w:val="22"/>
              </w:rPr>
              <w:t xml:space="preserve">Threshold lowered to 0.40</w:t>
            </w:r>
          </w:p>
          <w:p>
            <w:pPr>
              <w:pStyle w:val="ListParagraph"/>
              <w:numPr>
                <w:ilvl w:val="0"/>
                <w:numId w:val="2"/>
              </w:numPr>
              <w:spacing w:after="40" w:before="40"/>
            </w:pPr>
            <w:r>
              <w:rPr>
                <w:rFonts w:ascii="Arial" w:cs="Arial" w:eastAsia="Arial" w:hAnsi="Arial"/>
                <w:color w:val="2C2C2A"/>
                <w:sz w:val="22"/>
                <w:szCs w:val="22"/>
              </w:rPr>
              <w:t xml:space="preserve">Fewer interventions: more autonomous decisions</w:t>
            </w:r>
          </w:p>
          <w:p>
            <w:pPr>
              <w:pStyle w:val="ListParagraph"/>
              <w:numPr>
                <w:ilvl w:val="0"/>
                <w:numId w:val="2"/>
              </w:numPr>
              <w:spacing w:after="40" w:before="40"/>
            </w:pPr>
            <w:r>
              <w:rPr>
                <w:rFonts w:ascii="Arial" w:cs="Arial" w:eastAsia="Arial" w:hAnsi="Arial"/>
                <w:color w:val="2C2C2A"/>
                <w:sz w:val="22"/>
                <w:szCs w:val="22"/>
              </w:rPr>
              <w:t xml:space="preserve">Lower autonomous accuracy rate</w:t>
            </w:r>
          </w:p>
          <w:p>
            <w:pPr>
              <w:pStyle w:val="ListParagraph"/>
              <w:numPr>
                <w:ilvl w:val="0"/>
                <w:numId w:val="2"/>
              </w:numPr>
              <w:spacing w:after="40" w:before="40"/>
            </w:pPr>
            <w:r>
              <w:rPr>
                <w:rFonts w:ascii="Arial" w:cs="Arial" w:eastAsia="Arial" w:hAnsi="Arial"/>
                <w:color w:val="2C2C2A"/>
                <w:sz w:val="22"/>
                <w:szCs w:val="22"/>
              </w:rPr>
              <w:t xml:space="preserve">Faster cycle times overall</w:t>
            </w:r>
          </w:p>
          <w:p>
            <w:pPr>
              <w:pStyle w:val="ListParagraph"/>
              <w:numPr>
                <w:ilvl w:val="0"/>
                <w:numId w:val="2"/>
              </w:numPr>
              <w:spacing w:after="40" w:before="40"/>
            </w:pPr>
            <w:r>
              <w:rPr>
                <w:rFonts w:ascii="Arial" w:cs="Arial" w:eastAsia="Arial" w:hAnsi="Arial"/>
                <w:color w:val="2C2C2A"/>
                <w:sz w:val="22"/>
                <w:szCs w:val="22"/>
              </w:rPr>
              <w:t xml:space="preserve">Use when cost of delay exceeds cost of occasional errors</w:t>
            </w:r>
          </w:p>
        </w:tc>
      </w:tr>
    </w:tbl>
    <w:p>
      <w:pPr>
        <w:spacing w:after="80" w:before="80"/>
      </w:pPr>
      <w:r>
        <w:t xml:space="preserve"/>
      </w:r>
    </w:p>
    <w:p>
      <w:pPr>
        <w:pStyle w:val="Heading1"/>
        <w:pBdr>
          <w:bottom w:val="single" w:color="085041" w:sz="6" w:space="4"/>
        </w:pBdr>
        <w:spacing w:after="100" w:before="280"/>
      </w:pPr>
      <w:r>
        <w:rPr>
          <w:rFonts w:ascii="Arial" w:cs="Arial" w:eastAsia="Arial" w:hAnsi="Arial"/>
          <w:b/>
          <w:bCs/>
          <w:sz w:val="32"/>
          <w:szCs w:val="32"/>
        </w:rPr>
        <w:t xml:space="preserve">Discussion Questions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DDDDDD" w:sz="1"/>
              <w:left w:val="single" w:color="DDDDDD" w:sz="1"/>
              <w:bottom w:val="single" w:color="DDDDDD" w:sz="1"/>
              <w:right w:val="single" w:color="DDDDDD" w:sz="1"/>
            </w:tcBorders>
            <w:shd w:fill="EEEDFE" w:val="clear"/>
            <w:tcMar>
              <w:top w:type="dxa" w:w="120"/>
              <w:left w:type="dxa" w:w="160"/>
              <w:bottom w:type="dxa" w:w="120"/>
              <w:right w:type="dxa" w:w="160"/>
            </w:tcMar>
          </w:tcPr>
          <w:p>
            <w:pPr>
              <w:spacing w:after="80" w:before="40"/>
            </w:pPr>
            <w:r>
              <w:rPr>
                <w:rFonts w:ascii="Arial" w:cs="Arial" w:eastAsia="Arial" w:hAnsi="Arial"/>
                <w:b/>
                <w:bCs/>
                <w:color w:val="534AB7"/>
                <w:sz w:val="22"/>
                <w:szCs w:val="22"/>
              </w:rPr>
              <w:t xml:space="preserve">For small group or written reflection</w:t>
            </w:r>
          </w:p>
          <w:p>
            <w:pPr>
              <w:pStyle w:val="ListParagraph"/>
              <w:numPr>
                <w:ilvl w:val="0"/>
                <w:numId w:val="2"/>
              </w:numPr>
              <w:spacing w:after="40" w:before="40"/>
            </w:pPr>
            <w:r>
              <w:rPr>
                <w:rFonts w:ascii="Arial" w:cs="Arial" w:eastAsia="Arial" w:hAnsi="Arial"/>
                <w:color w:val="2C2C2A"/>
                <w:sz w:val="22"/>
                <w:szCs w:val="22"/>
              </w:rPr>
              <w:t xml:space="preserve">You ran the occlusion condition and confidence dropped to 0.31. Should you raise or lower the threshold? Explain why neither direction is automatically correct.</w:t>
            </w:r>
          </w:p>
          <w:p>
            <w:pPr>
              <w:pStyle w:val="ListParagraph"/>
              <w:numPr>
                <w:ilvl w:val="0"/>
                <w:numId w:val="2"/>
              </w:numPr>
              <w:spacing w:after="40" w:before="40"/>
            </w:pPr>
            <w:r>
              <w:rPr>
                <w:rFonts w:ascii="Arial" w:cs="Arial" w:eastAsia="Arial" w:hAnsi="Arial"/>
                <w:color w:val="2C2C2A"/>
                <w:sz w:val="22"/>
                <w:szCs w:val="22"/>
              </w:rPr>
              <w:t xml:space="preserve">The system correctly classified an object with a confidence score of 0.42. A student argues the threshold is too high. How do you respond?</w:t>
            </w:r>
          </w:p>
          <w:p>
            <w:pPr>
              <w:pStyle w:val="ListParagraph"/>
              <w:numPr>
                <w:ilvl w:val="0"/>
                <w:numId w:val="2"/>
              </w:numPr>
              <w:spacing w:after="40" w:before="40"/>
            </w:pPr>
            <w:r>
              <w:rPr>
                <w:rFonts w:ascii="Arial" w:cs="Arial" w:eastAsia="Arial" w:hAnsi="Arial"/>
                <w:color w:val="2C2C2A"/>
                <w:sz w:val="22"/>
                <w:szCs w:val="22"/>
              </w:rPr>
              <w:t xml:space="preserve">In Zehrung's DT vision, operators observe from 3,000 miles away. What challenges does remote monitoring create for confidence management not present in the lab?</w:t>
            </w:r>
          </w:p>
          <w:p>
            <w:pPr>
              <w:pStyle w:val="ListParagraph"/>
              <w:numPr>
                <w:ilvl w:val="0"/>
                <w:numId w:val="2"/>
              </w:numPr>
              <w:spacing w:after="40" w:before="40"/>
            </w:pPr>
            <w:r>
              <w:rPr>
                <w:rFonts w:ascii="Arial" w:cs="Arial" w:eastAsia="Arial" w:hAnsi="Arial"/>
                <w:color w:val="2C2C2A"/>
                <w:sz w:val="22"/>
                <w:szCs w:val="22"/>
              </w:rPr>
              <w:t xml:space="preserve">Name one application where you would set the threshold much higher than 0.607 and one much lower. Justify both.</w:t>
            </w:r>
          </w:p>
        </w:tc>
      </w:tr>
    </w:tbl>
    <w:p>
      <w:pPr>
        <w:spacing w:after="80" w:before="80"/>
      </w:pPr>
      <w:r>
        <w:t xml:space="preserve"/>
      </w:r>
    </w:p>
    <w:p>
      <w:pPr>
        <w:spacing w:after="100" w:before="60"/>
        <w:jc w:val="both"/>
      </w:pPr>
      <w:r>
        <w:rPr>
          <w:rFonts w:ascii="Arial" w:cs="Arial" w:eastAsia="Arial" w:hAnsi="Arial"/>
          <w:i/>
          <w:iCs/>
          <w:color w:val="888780"/>
          <w:sz w:val="18"/>
          <w:szCs w:val="18"/>
        </w:rPr>
        <w:t xml:space="preserve">References: Lenz et al. (2015); Jasim &amp; Plapper (2014); Collet et al. (2011); Rasheed et al. (2020)</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085041"/>
      <w:sz w:val="32"/>
      <w:szCs w:val="32"/>
    </w:rPr>
  </w:style>
  <w:style w:type="paragraph" w:styleId="Heading2">
    <w:name w:val="Heading 2"/>
    <w:basedOn w:val="Normal"/>
    <w:next w:val="Normal"/>
    <w:qFormat/>
    <w:pPr>
      <w:spacing w:after="70" w:before="220"/>
      <w:outlineLvl w:val="1"/>
    </w:pPr>
    <w:rPr>
      <w:rFonts w:ascii="Arial" w:cs="Arial" w:eastAsia="Arial" w:hAnsi="Arial"/>
      <w:b/>
      <w:bCs/>
      <w:color w:val="3C3489"/>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541c30eaef5b3644bee5a58b044705c09d9558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2026-05-09T09:50:33.755Z</dcterms:created>
  <dcterms:modified xsi:type="dcterms:W3CDTF">2026-05-09T09:50:33.755Z</dcterms:modified>
</cp:coreProperties>
</file>

<file path=docProps/custom.xml><?xml version="1.0" encoding="utf-8"?>
<Properties xmlns="http://schemas.openxmlformats.org/officeDocument/2006/custom-properties" xmlns:vt="http://schemas.openxmlformats.org/officeDocument/2006/docPropsVTypes"/>
</file>