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MIDWESTERN BAPTIST THEOLOGICAL SEMINARY</w:t>
      </w:r>
    </w:p>
    <w:p>
      <w:pPr>
        <w:pStyle w:val="Title"/>
        <w:rPr/>
      </w:pPr>
      <w:r>
        <w:rPr/>
        <w:t>LISTENING BEYOND THE COFFEE URN</w:t>
      </w:r>
    </w:p>
    <w:p>
      <w:pPr>
        <w:pStyle w:val="Title"/>
        <w:rPr/>
      </w:pPr>
      <w:r>
        <w:rPr/>
        <w:t>A RESEARCH PAPER</w:t>
      </w:r>
    </w:p>
    <w:p>
      <w:pPr>
        <w:pStyle w:val="Title"/>
        <w:rPr/>
      </w:pPr>
      <w:r>
        <w:rPr/>
        <w:t>HT 0000 DEMONSTRATION SEMINAR</w:t>
      </w:r>
    </w:p>
    <w:p>
      <w:pPr>
        <w:pStyle w:val="Title"/>
        <w:rPr/>
      </w:pPr>
      <w:r>
        <w:rPr/>
        <w:t>BY MORGAN REED</w:t>
      </w:r>
    </w:p>
    <w:p>
      <w:pPr>
        <w:pStyle w:val="Title"/>
        <w:rPr/>
      </w:pPr>
      <w:r>
        <w:rPr/>
        <w:t>KANSAS CITY, MISSOURI</w:t>
      </w:r>
    </w:p>
    <w:p>
      <w:pPr>
        <w:pStyle w:val="Title"/>
        <w:rPr/>
      </w:pPr>
      <w:r>
        <w:rPr/>
        <w:t>OCTOBER 20, 2026</w:t>
      </w:r>
      <w:r>
        <w:br w:type="page"/>
      </w:r>
    </w:p>
    <w:p>
      <w:pPr>
        <w:pStyle w:val="Heading1"/>
        <w:spacing w:before="0" w:after="0"/>
        <w:rPr/>
      </w:pPr>
      <w:r>
        <w:rPr/>
        <w:t>Introduction</w:t>
      </w:r>
    </w:p>
    <w:p>
      <w:pPr>
        <w:pStyle w:val="Normal"/>
        <w:rPr/>
      </w:pPr>
      <w:r>
        <w:rPr/>
        <w:t>James tells readers to be “quick to hear, slow to speak, slow to anger” (Jas 1:19).</w:t>
      </w:r>
      <w:r>
        <w:rPr>
          <w:rStyle w:val="FootnoteReference"/>
        </w:rPr>
        <w:footnoteReference w:id="2"/>
      </w:r>
    </w:p>
    <w:p>
      <w:pPr>
        <w:pStyle w:val="Normal"/>
        <w:rPr/>
      </w:pPr>
      <w:r>
        <w:rPr/>
        <w:t>Cedar Grove’s care committee had a clipboard, a calendar, and a coffee urn. Only the coffee urn had a clear operating procedure. This invented paper asks how volunteers could make their promises easier to remember.</w:t>
      </w:r>
      <w:r>
        <w:rPr>
          <w:rStyle w:val="FootnoteReference"/>
        </w:rPr>
        <w:footnoteReference w:id="3"/>
      </w:r>
    </w:p>
    <w:p>
      <w:pPr>
        <w:pStyle w:val="Normal"/>
        <w:rPr/>
      </w:pPr>
      <w:r>
        <w:rPr/>
        <w:t>The goal is to listen carefully before proposing a solution. A completed form records an activity; it does not prove that someone felt heard.</w:t>
      </w:r>
    </w:p>
    <w:p>
      <w:pPr>
        <w:pStyle w:val="Heading2"/>
        <w:rPr/>
      </w:pPr>
      <w:r>
        <w:rPr/>
        <w:t>A Repeatable Practice</w:t>
      </w:r>
    </w:p>
    <w:p>
      <w:pPr>
        <w:pStyle w:val="Normal"/>
        <w:rPr/>
      </w:pPr>
      <w:r>
        <w:rPr/>
        <w:t>Listen, reflect, and agree on a next step. This sequence is an invented teaching example, not a finding from a real study. The team can return to listening whenever its summary is mistaken. An invented volunteer described the experience:</w:t>
      </w:r>
    </w:p>
    <w:p>
      <w:pPr>
        <w:pStyle w:val="BlockText"/>
        <w:rPr/>
      </w:pPr>
      <w:r>
        <w:rPr/>
        <w:t>I arrived with three suggestions and a casserole. After listening, I discovered that the request was for a ride. The casserole remained available for emergencies. This quotation and its speaker are fictional.</w:t>
      </w:r>
      <w:r>
        <w:rPr>
          <w:rStyle w:val="FootnoteReference"/>
        </w:rPr>
        <w:footnoteReference w:id="4"/>
      </w:r>
    </w:p>
    <w:p>
      <w:pPr>
        <w:pStyle w:val="Heading1"/>
        <w:rPr/>
      </w:pPr>
      <w:r>
        <w:rPr/>
        <w:t>Conclusion</w:t>
      </w:r>
    </w:p>
    <w:p>
      <w:pPr>
        <w:pStyle w:val="Normal"/>
        <w:rPr/>
      </w:pPr>
      <w:r>
        <w:rPr/>
        <w:t>A useful procedure makes the next step clear without replacing attention to the person. Coffee can remain on a fixed schedule; care requires judgment.</w:t>
      </w:r>
    </w:p>
    <w:p>
      <w:pPr>
        <w:pStyle w:val="BibliographyHeading"/>
        <w:rPr/>
      </w:pPr>
      <w:r>
        <w:rPr/>
        <w:t>BIBLIOGRAPHY</w:t>
      </w:r>
    </w:p>
    <w:p>
      <w:pPr>
        <w:pStyle w:val="Bibliography"/>
        <w:rPr/>
      </w:pPr>
      <w:r>
        <w:rPr/>
        <w:t xml:space="preserve">Aster, Anne. </w:t>
      </w:r>
      <w:r>
        <w:rPr>
          <w:i/>
        </w:rPr>
        <w:t>The Patient Ministry</w:t>
      </w:r>
      <w:r>
        <w:rPr/>
        <w:t>. 2nd ed. Edited by Clara Cedar. Translated by Bennett B. Brew. St. Louis: Fictional Press, 2024.</w:t>
      </w:r>
    </w:p>
    <w:p>
      <w:pPr>
        <w:pStyle w:val="Bibliography"/>
        <w:spacing w:lineRule="auto" w:line="240" w:before="0" w:after="240"/>
        <w:ind w:hanging="720" w:start="720"/>
        <w:rPr/>
      </w:pPr>
      <w:r>
        <w:rPr/>
        <w:t xml:space="preserve">Brew, Bennett, and Clara Cedar, eds. </w:t>
      </w:r>
      <w:r>
        <w:rPr>
          <w:i/>
        </w:rPr>
        <w:t>After the Meeting</w:t>
      </w:r>
      <w:r>
        <w:rPr/>
        <w:t>. Example City: Fictional Press, 2025.</w:t>
      </w:r>
    </w:p>
    <w:sectPr>
      <w:footerReference w:type="even" r:id="rId2"/>
      <w:footerReference w:type="default" r:id="rId3"/>
      <w:footerReference w:type="first" r:id="rId4"/>
      <w:footnotePr>
        <w:numFmt w:val="decimal"/>
      </w:footnotePr>
      <w:type w:val="nextPage"/>
      <w:pgSz w:w="12240" w:h="15840"/>
      <w:pgMar w:left="1440" w:right="1440" w:gutter="0" w:header="0" w:top="1440" w:footer="720" w:bottom="144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 w:start="0" w:end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Unless otherwise specified, all Bible references in this paper are to the English Standard Version (ESV) (Wheaton, IL: Crossway, 2025).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 xml:space="preserve">Anne Aster, </w:t>
      </w:r>
      <w:r>
        <w:rPr>
          <w:i/>
        </w:rPr>
        <w:t>The Patient Ministry</w:t>
      </w:r>
      <w:r>
        <w:rPr/>
        <w:t>, 2nd ed., ed. Clara Cedar, trans. Bennett B. Brew (St. Louis: Fictional Press, 2024), 24.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 xml:space="preserve">Bennett Brew and Clara Cedar, eds., </w:t>
      </w:r>
      <w:r>
        <w:rPr>
          <w:i/>
        </w:rPr>
        <w:t>After the Meeting</w:t>
      </w:r>
      <w:r>
        <w:rPr/>
        <w:t xml:space="preserve"> (Example City: Fictional Press, 2025), 18.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iberation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bidi w:val="0"/>
      <w:spacing w:lineRule="auto" w:line="480" w:before="0" w:after="0"/>
      <w:ind w:firstLine="720" w:start="0" w:end="0"/>
      <w:jc w:val="start"/>
    </w:pPr>
    <w:rPr>
      <w:rFonts w:ascii="Times New Roman" w:hAnsi="Times New Roman" w:eastAsia="Noto Serif CJK SC" w:cs="Liberation Sans"/>
      <w:color w:val="auto"/>
      <w:kern w:val="0"/>
      <w:sz w:val="24"/>
      <w:szCs w:val="20"/>
      <w:lang w:val="en-US" w:eastAsia="zh-CN" w:bidi="hi-IN"/>
    </w:rPr>
  </w:style>
  <w:style w:type="paragraph" w:styleId="Heading1">
    <w:name w:val="heading 1"/>
    <w:basedOn w:val="Normal"/>
    <w:pPr>
      <w:keepNext w:val="true"/>
      <w:ind w:hanging="0"/>
      <w:jc w:val="center"/>
      <w:outlineLvl w:val="0"/>
    </w:pPr>
    <w:rPr>
      <w:b/>
    </w:rPr>
  </w:style>
  <w:style w:type="paragraph" w:styleId="Heading2">
    <w:name w:val="heading 2"/>
    <w:basedOn w:val="Normal"/>
    <w:pPr>
      <w:keepNext w:val="true"/>
      <w:ind w:hanging="0"/>
      <w:jc w:val="center"/>
      <w:outlineLvl w:val="1"/>
    </w:pPr>
    <w:rPr/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Title">
    <w:name w:val="Title"/>
    <w:basedOn w:val="Normal"/>
    <w:pPr>
      <w:spacing w:lineRule="auto" w:line="240"/>
      <w:ind w:hanging="0"/>
      <w:jc w:val="center"/>
    </w:pPr>
    <w:rPr/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BlockText">
    <w:name w:val="Block Text"/>
    <w:basedOn w:val="Normal"/>
    <w:pPr>
      <w:spacing w:lineRule="auto" w:line="240"/>
      <w:ind w:hanging="0" w:start="720"/>
    </w:pPr>
    <w:rPr/>
  </w:style>
  <w:style w:type="paragraph" w:styleId="BibliographyHeading">
    <w:name w:val="Bibliography Heading"/>
    <w:basedOn w:val="Normal"/>
    <w:pPr>
      <w:pageBreakBefore/>
      <w:ind w:hanging="0"/>
      <w:jc w:val="center"/>
    </w:pPr>
    <w:rPr/>
  </w:style>
  <w:style w:type="paragraph" w:styleId="Bibliography">
    <w:name w:val="Bibliography"/>
    <w:basedOn w:val="Normal"/>
    <w:pPr>
      <w:spacing w:lineRule="auto" w:line="240" w:before="0" w:after="240"/>
      <w:ind w:hanging="720" w:start="720"/>
    </w:pPr>
    <w:rPr/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notes" Target="footnot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