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>MIDWESTERN BAPTIST THEOLOGICAL SEMINARY</w:t>
      </w:r>
    </w:p>
    <w:p>
      <w:pPr>
        <w:pStyle w:val="Title"/>
        <w:rPr/>
      </w:pPr>
      <w:r>
        <w:rPr/>
        <w:t>LISTENING BEYOND THE COFFEE URN</w:t>
      </w:r>
    </w:p>
    <w:p>
      <w:pPr>
        <w:pStyle w:val="Title"/>
        <w:rPr/>
      </w:pPr>
      <w:r>
        <w:rPr/>
        <w:t>A RESEARCH PAPER</w:t>
      </w:r>
    </w:p>
    <w:p>
      <w:pPr>
        <w:pStyle w:val="Title"/>
        <w:rPr/>
      </w:pPr>
      <w:r>
        <w:rPr/>
        <w:t>HT 0000 DEMONSTRATION SEMINAR</w:t>
      </w:r>
    </w:p>
    <w:p>
      <w:pPr>
        <w:pStyle w:val="Title"/>
        <w:rPr/>
      </w:pPr>
      <w:r>
        <w:rPr/>
        <w:t>BY MORGAN REED</w:t>
      </w:r>
    </w:p>
    <w:p>
      <w:pPr>
        <w:pStyle w:val="Title"/>
        <w:rPr/>
      </w:pPr>
      <w:r>
        <w:rPr/>
        <w:t>KANSAS CITY, MISSOURI</w:t>
      </w:r>
    </w:p>
    <w:p>
      <w:pPr>
        <w:pStyle w:val="Title"/>
        <w:rPr/>
      </w:pPr>
      <w:r>
        <w:rPr/>
        <w:t>OCTOBER 20, 2026</w:t>
      </w:r>
      <w:r>
        <w:br w:type="page"/>
      </w:r>
    </w:p>
    <w:p>
      <w:pPr>
        <w:pStyle w:val="Heading1"/>
        <w:spacing w:before="0" w:after="0"/>
        <w:rPr/>
      </w:pPr>
      <w:r>
        <w:rPr/>
        <w:t>Introduction</w:t>
      </w:r>
    </w:p>
    <w:p>
      <w:pPr>
        <w:pStyle w:val="Normal"/>
        <w:rPr/>
      </w:pPr>
      <w:r>
        <w:rPr/>
        <w:t>James tells readers to be “quick to hear, slow to speak, slow to anger” (Jas 1:19).</w:t>
      </w:r>
      <w:r>
        <w:rPr>
          <w:rStyle w:val="FootnoteReference"/>
        </w:rPr>
        <w:footnoteReference w:id="2"/>
      </w:r>
    </w:p>
    <w:p>
      <w:pPr>
        <w:pStyle w:val="Normal"/>
        <w:rPr/>
      </w:pPr>
      <w:r>
        <w:rPr/>
        <w:t>Cedar Grove’s care committee had a clipboard, a calendar, and a coffee urn. Only the coffee urn had a clear operating procedure. This invented paper asks how volunteers could make their promises easier to remember.</w:t>
      </w:r>
      <w:r>
        <w:rPr>
          <w:rStyle w:val="FootnoteReference"/>
        </w:rPr>
        <w:footnoteReference w:id="3"/>
      </w:r>
    </w:p>
    <w:p>
      <w:pPr>
        <w:pStyle w:val="Normal"/>
        <w:rPr/>
      </w:pPr>
      <w:r>
        <w:rPr/>
        <w:t>The goal is to listen carefully before proposing a solution. A completed form records an activity; it does not prove that someone felt heard.</w:t>
      </w:r>
    </w:p>
    <w:p>
      <w:pPr>
        <w:pStyle w:val="Heading2"/>
        <w:rPr/>
      </w:pPr>
      <w:r>
        <w:rPr/>
        <w:t>A Repeatable Practice</w:t>
      </w:r>
    </w:p>
    <w:p>
      <w:pPr>
        <w:pStyle w:val="Normal"/>
        <w:rPr/>
      </w:pPr>
      <w:r>
        <w:rPr/>
        <w:t>Listen, reflect, and agree on a next step. This sequence is an invented teaching example, not a finding from a real study. The team can return to listening whenever its summary is mistaken. An invented volunteer described the experience:</w:t>
      </w:r>
    </w:p>
    <w:p>
      <w:pPr>
        <w:pStyle w:val="BlockText"/>
        <w:rPr/>
      </w:pPr>
      <w:r>
        <w:rPr/>
        <w:t>I arrived with three suggestions and a casserole. After listening, I discovered that the request was for a ride. The casserole remained available for emergencies. This quotation and its speaker are fictional.</w:t>
      </w:r>
      <w:r>
        <w:rPr>
          <w:rStyle w:val="FootnoteReference"/>
        </w:rPr>
        <w:footnoteReference w:id="4"/>
      </w:r>
    </w:p>
    <w:p>
      <w:pPr>
        <w:pStyle w:val="Heading1"/>
        <w:rPr/>
      </w:pPr>
      <w:r>
        <w:rPr/>
        <w:t>Conclusion</w:t>
      </w:r>
    </w:p>
    <w:p>
      <w:pPr>
        <w:pStyle w:val="Normal"/>
        <w:rPr/>
      </w:pPr>
      <w:r>
        <w:rPr/>
        <w:t>A useful procedure makes the next step clear without replacing attention to the person. Coffee can remain on a fixed schedule; care requires judgment.</w:t>
      </w:r>
    </w:p>
    <w:p>
      <w:pPr>
        <w:pStyle w:val="BibliographyHeading"/>
        <w:rPr/>
      </w:pPr>
      <w:r>
        <w:rPr/>
        <w:t>BIBLIOGRAPHY</w:t>
      </w:r>
    </w:p>
    <w:p>
      <w:pPr>
        <w:pStyle w:val="Bibliography"/>
        <w:rPr/>
      </w:pPr>
      <w:r>
        <w:rPr/>
        <w:t xml:space="preserve">Aster, Anne. “The Emergency Casserole.” In </w:t>
      </w:r>
      <w:r>
        <w:rPr>
          <w:i/>
        </w:rPr>
        <w:t>Care after Coffee</w:t>
      </w:r>
      <w:r>
        <w:rPr/>
        <w:t>, edited by Clara Cedar, 20–30. Example City: Fictional Press, 2024.</w:t>
      </w:r>
    </w:p>
    <w:p>
      <w:pPr>
        <w:pStyle w:val="Bibliography"/>
        <w:rPr/>
      </w:pPr>
      <w:r>
        <w:rPr/>
        <w:t>Brew, Bennett. “A Committee of One.” Cedar.org. October 1, 2024. https://example.invalid/care;version=2.</w:t>
      </w:r>
    </w:p>
    <w:p>
      <w:pPr>
        <w:pStyle w:val="Bibliography"/>
        <w:spacing w:lineRule="auto" w:line="240" w:before="0" w:after="240"/>
        <w:ind w:hanging="720" w:start="720"/>
        <w:rPr/>
      </w:pPr>
      <w:r>
        <w:rPr/>
        <w:t xml:space="preserve">Dove, Daniel, Ella Elm, Finn Finch, and Grace Grove. </w:t>
      </w:r>
      <w:r>
        <w:rPr>
          <w:i/>
        </w:rPr>
        <w:t>Meetings That End</w:t>
      </w:r>
      <w:r>
        <w:rPr/>
        <w:t>. Example City: Fictional Press, 2025.</w:t>
      </w:r>
    </w:p>
    <w:sectPr>
      <w:footerReference w:type="even" r:id="rId2"/>
      <w:footerReference w:type="default" r:id="rId3"/>
      <w:footerReference w:type="first" r:id="rId4"/>
      <w:footnotePr>
        <w:numFmt w:val="decimal"/>
      </w:footnotePr>
      <w:type w:val="nextPage"/>
      <w:pgSz w:w="12240" w:h="15840"/>
      <w:pgMar w:left="1440" w:right="1440" w:gutter="0" w:header="0" w:top="1440" w:footer="720" w:bottom="1440"/>
      <w:pgNumType w:fmt="decimal"/>
      <w:formProt w:val="false"/>
      <w:titlePg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ind w:hanging="0" w:start="0" w:end="0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3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rPr/>
      </w:pPr>
      <w:r>
        <w:rPr>
          <w:rStyle w:val="FootnoteCharacters"/>
        </w:rPr>
        <w:footnoteRef/>
      </w:r>
      <w:r>
        <w:rPr/>
        <w:t xml:space="preserve"> </w:t>
      </w:r>
      <w:r>
        <w:rPr/>
        <w:t>Unless otherwise specified, all Bible references in this paper are to the English Standard Version (ESV) (Wheaton, IL: Crossway, 2025).</w:t>
      </w:r>
    </w:p>
  </w:footnote>
  <w:footnote w:id="3">
    <w:p>
      <w:pPr>
        <w:pStyle w:val="FootnoteText"/>
        <w:rPr/>
      </w:pPr>
      <w:r>
        <w:rPr>
          <w:rStyle w:val="FootnoteCharacters"/>
        </w:rPr>
        <w:footnoteRef/>
      </w:r>
      <w:r>
        <w:rPr/>
        <w:t xml:space="preserve"> </w:t>
      </w:r>
      <w:r>
        <w:rPr/>
        <w:t xml:space="preserve">Anne Aster, “The Emergency Casserole,” in </w:t>
      </w:r>
      <w:r>
        <w:rPr>
          <w:i/>
        </w:rPr>
        <w:t>Care after Coffee</w:t>
      </w:r>
      <w:r>
        <w:rPr/>
        <w:t xml:space="preserve">, ed. Clara Cedar (Example City: Fictional Press, 2024), 24; Daniel Dove et al., </w:t>
      </w:r>
      <w:r>
        <w:rPr>
          <w:i/>
        </w:rPr>
        <w:t>Meetings That End</w:t>
      </w:r>
      <w:r>
        <w:rPr/>
        <w:t xml:space="preserve"> (Example City: Fictional Press, 2025), 18.</w:t>
      </w:r>
    </w:p>
  </w:footnote>
  <w:footnote w:id="4">
    <w:p>
      <w:pPr>
        <w:pStyle w:val="FootnoteText"/>
        <w:rPr/>
      </w:pPr>
      <w:r>
        <w:rPr>
          <w:rStyle w:val="FootnoteCharacters"/>
        </w:rPr>
        <w:footnoteRef/>
      </w:r>
      <w:r>
        <w:rPr/>
        <w:t xml:space="preserve"> </w:t>
      </w:r>
      <w:r>
        <w:rPr/>
        <w:t>Bennett Brew, “A Committee of One,” Cedar.org, October 1, 2024, https://example.invalid/care;version=2.</w:t>
      </w:r>
    </w:p>
  </w:footnote>
</w:footnote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footnotePr>
    <w:numFmt w:val="decimal"/>
    <w:footnote w:id="0"/>
    <w:footnote w:id="1"/>
  </w:footnotePr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Liberation Sans"/>
        <w:sz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pPr>
      <w:widowControl/>
      <w:bidi w:val="0"/>
      <w:spacing w:lineRule="auto" w:line="480" w:before="0" w:after="0"/>
      <w:ind w:firstLine="720" w:start="0" w:end="0"/>
      <w:jc w:val="start"/>
    </w:pPr>
    <w:rPr>
      <w:rFonts w:ascii="Times New Roman" w:hAnsi="Times New Roman" w:eastAsia="Noto Serif CJK SC" w:cs="Liberation Sans"/>
      <w:color w:val="auto"/>
      <w:kern w:val="0"/>
      <w:sz w:val="24"/>
      <w:szCs w:val="20"/>
      <w:lang w:val="en-US" w:eastAsia="zh-CN" w:bidi="hi-IN"/>
    </w:rPr>
  </w:style>
  <w:style w:type="paragraph" w:styleId="Heading1">
    <w:name w:val="heading 1"/>
    <w:basedOn w:val="Normal"/>
    <w:pPr>
      <w:keepNext w:val="true"/>
      <w:ind w:hanging="0"/>
      <w:jc w:val="center"/>
      <w:outlineLvl w:val="0"/>
    </w:pPr>
    <w:rPr>
      <w:b/>
    </w:rPr>
  </w:style>
  <w:style w:type="paragraph" w:styleId="Heading2">
    <w:name w:val="heading 2"/>
    <w:basedOn w:val="Normal"/>
    <w:pPr>
      <w:keepNext w:val="true"/>
      <w:ind w:hanging="0"/>
      <w:jc w:val="center"/>
      <w:outlineLvl w:val="1"/>
    </w:pPr>
    <w:rPr/>
  </w:style>
  <w:style w:type="character" w:styleId="FootnoteCharacters">
    <w:name w:val="Footnote Characters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rPr/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Noto Sans CJK SC" w:cs="Liberation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iberation 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Liberation Sans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Liberation Sans"/>
    </w:rPr>
  </w:style>
  <w:style w:type="paragraph" w:styleId="Title">
    <w:name w:val="Title"/>
    <w:basedOn w:val="Normal"/>
    <w:pPr>
      <w:spacing w:lineRule="auto" w:line="240"/>
      <w:ind w:hanging="0"/>
      <w:jc w:val="center"/>
    </w:pPr>
    <w:rPr/>
  </w:style>
  <w:style w:type="paragraph" w:styleId="FootnoteText">
    <w:name w:val="footnote text"/>
    <w:basedOn w:val="Normal"/>
    <w:pPr>
      <w:spacing w:lineRule="auto" w:line="240"/>
    </w:pPr>
    <w:rPr>
      <w:sz w:val="20"/>
    </w:rPr>
  </w:style>
  <w:style w:type="paragraph" w:styleId="BlockText">
    <w:name w:val="Block Text"/>
    <w:basedOn w:val="Normal"/>
    <w:pPr>
      <w:spacing w:lineRule="auto" w:line="240"/>
      <w:ind w:hanging="0" w:start="720"/>
    </w:pPr>
    <w:rPr/>
  </w:style>
  <w:style w:type="paragraph" w:styleId="BibliographyHeading">
    <w:name w:val="Bibliography Heading"/>
    <w:basedOn w:val="Normal"/>
    <w:pPr>
      <w:pageBreakBefore/>
      <w:ind w:hanging="0"/>
      <w:jc w:val="center"/>
    </w:pPr>
    <w:rPr/>
  </w:style>
  <w:style w:type="paragraph" w:styleId="Bibliography">
    <w:name w:val="Bibliography"/>
    <w:basedOn w:val="Normal"/>
    <w:pPr>
      <w:spacing w:lineRule="auto" w:line="240" w:before="0" w:after="240"/>
      <w:ind w:hanging="720" w:start="720"/>
    </w:pPr>
    <w:rPr/>
  </w:style>
  <w:style w:type="paragraph" w:styleId="HeaderandFooter">
    <w:name w:val="Header and Footer"/>
    <w:basedOn w:val="Normal"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footnotes" Target="footnotes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LibreOffice/26.8.1.1$Linux_X86_64 LibreOffice_project/680$Build-1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