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555555"/>
          <w:sz w:val="32"/>
          <w:szCs w:val="32"/>
        </w:rPr>
        <w:t xml:space="preserve">CAHIER DES CHARGES</w:t>
      </w:r>
    </w:p>
    <w:p>
      <w:pPr>
        <w:spacing w:after="100" w:before="200"/>
        <w:jc w:val="center"/>
      </w:pPr>
      <w:r>
        <w:rPr>
          <w:b/>
          <w:bCs/>
          <w:color w:val="1E1B4B"/>
          <w:sz w:val="64"/>
          <w:szCs w:val="64"/>
        </w:rPr>
        <w:t xml:space="preserve">FARANI</w:t>
      </w:r>
    </w:p>
    <w:p>
      <w:pPr>
        <w:spacing w:after="400"/>
        <w:jc w:val="center"/>
      </w:pPr>
      <w:r>
        <w:rPr>
          <w:i/>
          <w:iCs/>
          <w:color w:val="555555"/>
          <w:sz w:val="20"/>
          <w:szCs w:val="20"/>
        </w:rPr>
        <w:t xml:space="preserve">(nom provisoire — finaliste avec « Sangolo »)</w:t>
      </w:r>
    </w:p>
    <w:p>
      <w:pPr>
        <w:spacing w:after="60"/>
        <w:jc w:val="center"/>
      </w:pPr>
      <w:r>
        <w:rPr>
          <w:color w:val="1E1B4B"/>
          <w:sz w:val="24"/>
          <w:szCs w:val="24"/>
        </w:rPr>
        <w:t xml:space="preserve">Application mobile et web de soutien psychologique pour adolescents</w:t>
      </w:r>
    </w:p>
    <w:p>
      <w:pPr>
        <w:spacing w:after="800"/>
        <w:jc w:val="center"/>
      </w:pPr>
      <w:r>
        <w:rPr>
          <w:color w:val="555555"/>
          <w:sz w:val="22"/>
          <w:szCs w:val="22"/>
        </w:rPr>
        <w:t xml:space="preserve">Un espace d'écoute humaine, anonyme et sécurisé, pour les jeunes en souffrance silencieuse au Cameroun</w:t>
      </w:r>
    </w:p>
    <w:p>
      <w:pPr>
        <w:spacing w:before="1600"/>
        <w:jc w:val="center"/>
      </w:pPr>
      <w:r>
        <w:rPr>
          <w:color w:val="555555"/>
          <w:sz w:val="20"/>
          <w:szCs w:val="20"/>
        </w:rPr>
        <w:t xml:space="preserve">Anaé — Étudiante en 3ème année, DTS Génie Logiciel, IAI-Cameroun</w:t>
      </w:r>
    </w:p>
    <w:p>
      <w:pPr>
        <w:jc w:val="center"/>
      </w:pPr>
      <w:r>
        <w:rPr>
          <w:color w:val="555555"/>
          <w:sz w:val="20"/>
          <w:szCs w:val="20"/>
        </w:rPr>
        <w:t xml:space="preserve">Juillet 2026</w:t>
      </w:r>
    </w:p>
    <w:p>
      <w:r>
        <w:br w:type="page"/>
      </w:r>
    </w:p>
    <w:p>
      <w:pPr>
        <w:pStyle w:val="Heading1"/>
        <w:spacing w:after="160" w:before="360"/>
      </w:pPr>
      <w:r>
        <w:rPr>
          <w:b/>
          <w:bCs/>
          <w:color w:val="1E1B4B"/>
        </w:rPr>
        <w:t xml:space="preserve">Sommaire</w:t>
      </w:r>
    </w:p>
    <w:p>
      <w:pPr>
        <w:spacing w:after="120"/>
      </w:pPr>
      <w:r>
        <w:rPr>
          <w:color w:val="1E1B4B"/>
          <w:sz w:val="22"/>
          <w:szCs w:val="22"/>
        </w:rPr>
        <w:t xml:space="preserve">1. Contexte et problématique</w:t>
      </w:r>
    </w:p>
    <w:p>
      <w:pPr>
        <w:spacing w:after="120"/>
      </w:pPr>
      <w:r>
        <w:rPr>
          <w:color w:val="1E1B4B"/>
          <w:sz w:val="22"/>
          <w:szCs w:val="22"/>
        </w:rPr>
        <w:t xml:space="preserve">2. Objectifs du projet</w:t>
      </w:r>
    </w:p>
    <w:p>
      <w:pPr>
        <w:spacing w:after="120"/>
      </w:pPr>
      <w:r>
        <w:rPr>
          <w:color w:val="1E1B4B"/>
          <w:sz w:val="22"/>
          <w:szCs w:val="22"/>
        </w:rPr>
        <w:t xml:space="preserve">3. Public cible</w:t>
      </w:r>
    </w:p>
    <w:p>
      <w:pPr>
        <w:spacing w:after="120"/>
      </w:pPr>
      <w:r>
        <w:rPr>
          <w:color w:val="1E1B4B"/>
          <w:sz w:val="22"/>
          <w:szCs w:val="22"/>
        </w:rPr>
        <w:t xml:space="preserve">4. Description fonctionnelle</w:t>
      </w:r>
    </w:p>
    <w:p>
      <w:pPr>
        <w:spacing w:after="120"/>
      </w:pPr>
      <w:r>
        <w:rPr>
          <w:color w:val="1E1B4B"/>
          <w:sz w:val="22"/>
          <w:szCs w:val="22"/>
        </w:rPr>
        <w:t xml:space="preserve">5. Approche éthique et sécurité</w:t>
      </w:r>
    </w:p>
    <w:p>
      <w:pPr>
        <w:spacing w:after="120"/>
      </w:pPr>
      <w:r>
        <w:rPr>
          <w:color w:val="1E1B4B"/>
          <w:sz w:val="22"/>
          <w:szCs w:val="22"/>
        </w:rPr>
        <w:t xml:space="preserve">6. Identité de marque</w:t>
      </w:r>
    </w:p>
    <w:p>
      <w:pPr>
        <w:spacing w:after="120"/>
      </w:pPr>
      <w:r>
        <w:rPr>
          <w:color w:val="1E1B4B"/>
          <w:sz w:val="22"/>
          <w:szCs w:val="22"/>
        </w:rPr>
        <w:t xml:space="preserve">7. Architecture technique</w:t>
      </w:r>
    </w:p>
    <w:p>
      <w:pPr>
        <w:spacing w:after="120"/>
      </w:pPr>
      <w:r>
        <w:rPr>
          <w:color w:val="1E1B4B"/>
          <w:sz w:val="22"/>
          <w:szCs w:val="22"/>
        </w:rPr>
        <w:t xml:space="preserve">8. Parcours utilisateur</w:t>
      </w:r>
    </w:p>
    <w:p>
      <w:pPr>
        <w:spacing w:after="120"/>
      </w:pPr>
      <w:r>
        <w:rPr>
          <w:color w:val="1E1B4B"/>
          <w:sz w:val="22"/>
          <w:szCs w:val="22"/>
        </w:rPr>
        <w:t xml:space="preserve">9. Feuille de route</w:t>
      </w:r>
    </w:p>
    <w:p>
      <w:pPr>
        <w:spacing w:after="120"/>
      </w:pPr>
      <w:r>
        <w:rPr>
          <w:color w:val="1E1B4B"/>
          <w:sz w:val="22"/>
          <w:szCs w:val="22"/>
        </w:rPr>
        <w:t xml:space="preserve">10. Budget estimatif</w:t>
      </w:r>
    </w:p>
    <w:p>
      <w:pPr>
        <w:spacing w:after="120"/>
      </w:pPr>
      <w:r>
        <w:rPr>
          <w:color w:val="1E1B4B"/>
          <w:sz w:val="22"/>
          <w:szCs w:val="22"/>
        </w:rPr>
        <w:t xml:space="preserve">11. Impact attendu</w:t>
      </w:r>
    </w:p>
    <w:p>
      <w:pPr>
        <w:spacing w:after="120"/>
      </w:pPr>
      <w:r>
        <w:rPr>
          <w:color w:val="1E1B4B"/>
          <w:sz w:val="22"/>
          <w:szCs w:val="22"/>
        </w:rPr>
        <w:t xml:space="preserve">12. Conclusion</w:t>
      </w:r>
    </w:p>
    <w:p>
      <w:r>
        <w:br w:type="page"/>
      </w:r>
    </w:p>
    <w:p>
      <w:pPr>
        <w:pStyle w:val="Heading1"/>
        <w:spacing w:after="160" w:before="360"/>
      </w:pPr>
      <w:r>
        <w:rPr>
          <w:b/>
          <w:bCs/>
          <w:color w:val="1E1B4B"/>
        </w:rPr>
        <w:t xml:space="preserve">1. Contexte et problématique</w:t>
      </w:r>
    </w:p>
    <w:p>
      <w:pPr>
        <w:spacing w:after="160" w:line="300"/>
      </w:pPr>
      <w:r>
        <w:rPr>
          <w:i w:val="false"/>
          <w:iCs w:val="false"/>
        </w:rPr>
        <w:t xml:space="preserve">Au Cameroun, un grand nombre d'adolescents traversent des périodes de détresse psychologique sans jamais en parler à quiconque. Cette souffrance reste largement invisible : elle n'est ni nommée, ni reconnue, ni accompagnée, faute d'espace sûr pour l'exprimer.</w:t>
      </w:r>
    </w:p>
    <w:p>
      <w:pPr>
        <w:pStyle w:val="Heading2"/>
        <w:spacing w:after="120" w:before="240"/>
      </w:pPr>
      <w:r>
        <w:rPr>
          <w:b/>
          <w:bCs/>
          <w:color w:val="1E1B4B"/>
        </w:rPr>
        <w:t xml:space="preserve">1.1 Les difficultés vécues par les jeunes</w:t>
      </w:r>
    </w:p>
    <w:p>
      <w:pPr>
        <w:pStyle w:val="ListParagraph"/>
        <w:numPr>
          <w:ilvl w:val="0"/>
          <w:numId w:val="2"/>
        </w:numPr>
        <w:spacing w:after="80"/>
      </w:pPr>
      <w:r>
        <w:rPr>
          <w:b/>
          <w:bCs/>
        </w:rPr>
        <w:t xml:space="preserve">Pression scolaire et académique — </w:t>
      </w:r>
      <w:r>
        <w:t xml:space="preserve">les attentes autour d'examens comme le BEPC, le Probatoire ou le Baccalauréat, associées à la peur du redoublement, créent une charge mentale continue.</w:t>
      </w:r>
    </w:p>
    <w:p>
      <w:pPr>
        <w:pStyle w:val="ListParagraph"/>
        <w:numPr>
          <w:ilvl w:val="0"/>
          <w:numId w:val="2"/>
        </w:numPr>
        <w:spacing w:after="80"/>
      </w:pPr>
      <w:r>
        <w:rPr>
          <w:b/>
          <w:bCs/>
        </w:rPr>
        <w:t xml:space="preserve">Exigences parentales élevées — </w:t>
      </w:r>
      <w:r>
        <w:t xml:space="preserve">des attentes de réussite souvent disproportionnées, sans espace pour l'échec ou le doute.</w:t>
      </w:r>
    </w:p>
    <w:p>
      <w:pPr>
        <w:pStyle w:val="ListParagraph"/>
        <w:numPr>
          <w:ilvl w:val="0"/>
          <w:numId w:val="2"/>
        </w:numPr>
        <w:spacing w:after="80"/>
      </w:pPr>
      <w:r>
        <w:rPr>
          <w:b/>
          <w:bCs/>
        </w:rPr>
        <w:t xml:space="preserve">Solitude — </w:t>
      </w:r>
      <w:r>
        <w:t xml:space="preserve">l'absence d'un adulte ou d'un pair à qui se confier réellement, y compris au sein de la famille.</w:t>
      </w:r>
    </w:p>
    <w:p>
      <w:pPr>
        <w:pStyle w:val="ListParagraph"/>
        <w:numPr>
          <w:ilvl w:val="0"/>
          <w:numId w:val="2"/>
        </w:numPr>
        <w:spacing w:after="80"/>
      </w:pPr>
      <w:r>
        <w:rPr>
          <w:b/>
          <w:bCs/>
        </w:rPr>
        <w:t xml:space="preserve">Absence d'un parent — </w:t>
      </w:r>
      <w:r>
        <w:t xml:space="preserve">un parent parti, décédé ou indisponible, laissant un vide affectif rarement adressé.</w:t>
      </w:r>
    </w:p>
    <w:p>
      <w:pPr>
        <w:pStyle w:val="ListParagraph"/>
        <w:numPr>
          <w:ilvl w:val="0"/>
          <w:numId w:val="2"/>
        </w:numPr>
        <w:spacing w:after="80"/>
      </w:pPr>
      <w:r>
        <w:rPr>
          <w:b/>
          <w:bCs/>
        </w:rPr>
        <w:t xml:space="preserve">Violences répétées — </w:t>
      </w:r>
      <w:r>
        <w:t xml:space="preserve">violences physiques ou verbales au sein du foyer, subies en silence par peur des représailles ou du jugement.</w:t>
      </w:r>
    </w:p>
    <w:p>
      <w:pPr>
        <w:pStyle w:val="Heading2"/>
        <w:spacing w:after="120" w:before="240"/>
      </w:pPr>
      <w:r>
        <w:rPr>
          <w:b/>
          <w:bCs/>
          <w:color w:val="1E1B4B"/>
        </w:rPr>
        <w:t xml:space="preserve">1.2 Pourquoi ce silence</w:t>
      </w:r>
    </w:p>
    <w:p>
      <w:pPr>
        <w:pStyle w:val="ListParagraph"/>
        <w:numPr>
          <w:ilvl w:val="0"/>
          <w:numId w:val="2"/>
        </w:numPr>
        <w:spacing w:after="80"/>
      </w:pPr>
      <w:r>
        <w:rPr>
          <w:b/>
          <w:bCs/>
        </w:rPr>
        <w:t xml:space="preserve">Stigmatisation — </w:t>
      </w:r>
      <w:r>
        <w:t xml:space="preserve">la santé mentale reste taboue ; « un jeune fort ne pleure pas » est une norme sociale répandue.</w:t>
      </w:r>
    </w:p>
    <w:p>
      <w:pPr>
        <w:pStyle w:val="ListParagraph"/>
        <w:numPr>
          <w:ilvl w:val="0"/>
          <w:numId w:val="2"/>
        </w:numPr>
        <w:spacing w:after="80"/>
      </w:pPr>
      <w:r>
        <w:rPr>
          <w:b/>
          <w:bCs/>
        </w:rPr>
        <w:t xml:space="preserve">Manque de professionnels accessibles — </w:t>
      </w:r>
      <w:r>
        <w:t xml:space="preserve">très peu de psychologues, concentrés à Yaoundé et Douala, souvent hors de portée financière.</w:t>
      </w:r>
    </w:p>
    <w:p>
      <w:pPr>
        <w:pStyle w:val="ListParagraph"/>
        <w:numPr>
          <w:ilvl w:val="0"/>
          <w:numId w:val="2"/>
        </w:numPr>
        <w:spacing w:after="80"/>
      </w:pPr>
      <w:r>
        <w:rPr>
          <w:b/>
          <w:bCs/>
        </w:rPr>
        <w:t xml:space="preserve">Absence de canal anonyme — </w:t>
      </w:r>
      <w:r>
        <w:t xml:space="preserve">aucun espace où un ado peut s'exprimer sans crainte d'être reconnu ou jugé par son entourage.</w:t>
      </w:r>
    </w:p>
    <w:p>
      <w:pPr>
        <w:pStyle w:val="Heading2"/>
        <w:spacing w:after="120" w:before="240"/>
      </w:pPr>
      <w:r>
        <w:rPr>
          <w:b/>
          <w:bCs/>
          <w:color w:val="1E1B4B"/>
        </w:rPr>
        <w:t xml:space="preserve">1.3 Ce qui est en jeu</w:t>
      </w:r>
    </w:p>
    <w:p>
      <w:pPr>
        <w:spacing w:after="160" w:line="300"/>
      </w:pPr>
      <w:r>
        <w:rPr>
          <w:i w:val="false"/>
          <w:iCs w:val="false"/>
        </w:rPr>
        <w:t xml:space="preserve">Faute d'accompagnement, cette souffrance silencieuse peut évoluer vers un isolement profond, un décrochage scolaire, ou dans les cas les plus graves, des passages à l'acte irréversibles. Le projet part d'un constat simple : il ne manque pas seulement des professionnels, il manque un premier espace d'écoute, accessible, anonyme et humain, avant même d'atteindre le stade de l'urgence.</w:t>
      </w:r>
    </w:p>
    <w:p>
      <w:pPr>
        <w:pStyle w:val="Heading1"/>
        <w:spacing w:after="160" w:before="360"/>
      </w:pPr>
      <w:r>
        <w:rPr>
          <w:b/>
          <w:bCs/>
          <w:color w:val="1E1B4B"/>
        </w:rPr>
        <w:t xml:space="preserve">2. Objectifs du projet</w:t>
      </w:r>
    </w:p>
    <w:p>
      <w:pPr>
        <w:pStyle w:val="Heading2"/>
        <w:spacing w:after="120" w:before="240"/>
      </w:pPr>
      <w:r>
        <w:rPr>
          <w:b/>
          <w:bCs/>
          <w:color w:val="1E1B4B"/>
        </w:rPr>
        <w:t xml:space="preserve">2.1 Objectif général</w:t>
      </w:r>
    </w:p>
    <w:p>
      <w:pPr>
        <w:spacing w:after="160" w:line="300"/>
      </w:pPr>
      <w:r>
        <w:rPr>
          <w:i w:val="false"/>
          <w:iCs w:val="false"/>
        </w:rPr>
        <w:t xml:space="preserve">Offrir aux adolescents camerounais en détresse psychologique un espace numérique sûr où ils peuvent s'exprimer, se sentir compris par de vraies personnes, et être orientés vers un accompagnement professionnel si nécessaire — sans jamais recourir à un chatbot ou une réponse automatisée face à leur souffrance.</w:t>
      </w:r>
    </w:p>
    <w:p>
      <w:pPr>
        <w:pStyle w:val="Heading2"/>
        <w:spacing w:after="120" w:before="240"/>
      </w:pPr>
      <w:r>
        <w:rPr>
          <w:b/>
          <w:bCs/>
          <w:color w:val="1E1B4B"/>
        </w:rPr>
        <w:t xml:space="preserve">2.2 Objectifs spécifiques</w:t>
      </w:r>
    </w:p>
    <w:p>
      <w:pPr>
        <w:pStyle w:val="ListParagraph"/>
        <w:numPr>
          <w:ilvl w:val="0"/>
          <w:numId w:val="2"/>
        </w:numPr>
        <w:spacing w:after="80"/>
      </w:pPr>
      <w:r>
        <w:t xml:space="preserve">Permettre à un ado d'exprimer ce qu'il ressent de façon anonyme et sécurisée (journal texte, audio, photo).</w:t>
      </w:r>
    </w:p>
    <w:p>
      <w:pPr>
        <w:pStyle w:val="ListParagraph"/>
        <w:numPr>
          <w:ilvl w:val="0"/>
          <w:numId w:val="2"/>
        </w:numPr>
        <w:spacing w:after="80"/>
      </w:pPr>
      <w:r>
        <w:t xml:space="preserve">Mettre en relation chaque ado avec un écoutant humain formé, en tchat privé ou en petit groupe (cercle d'écoute).</w:t>
      </w:r>
    </w:p>
    <w:p>
      <w:pPr>
        <w:pStyle w:val="ListParagraph"/>
        <w:numPr>
          <w:ilvl w:val="0"/>
          <w:numId w:val="2"/>
        </w:numPr>
        <w:spacing w:after="80"/>
      </w:pPr>
      <w:r>
        <w:t xml:space="preserve">Détecter précocement les situations à risque et alerter un superviseur humain, sans jamais automatiser la réponse à l'ado.</w:t>
      </w:r>
    </w:p>
    <w:p>
      <w:pPr>
        <w:pStyle w:val="ListParagraph"/>
        <w:numPr>
          <w:ilvl w:val="0"/>
          <w:numId w:val="2"/>
        </w:numPr>
        <w:spacing w:after="80"/>
      </w:pPr>
      <w:r>
        <w:t xml:space="preserve">Orienter vers un psychologue partenaire lorsque la situation le nécessite, toujours avec l'accord de l'ado.</w:t>
      </w:r>
    </w:p>
    <w:p>
      <w:pPr>
        <w:pStyle w:val="ListParagraph"/>
        <w:numPr>
          <w:ilvl w:val="0"/>
          <w:numId w:val="2"/>
        </w:numPr>
        <w:spacing w:after="80"/>
      </w:pPr>
      <w:r>
        <w:t xml:space="preserve">Garantir un cadre éthique strict de protection de l'enfance à chaque étape, y compris pour les rares situations de rencontre physique.</w:t>
      </w:r>
    </w:p>
    <w:p>
      <w:pPr>
        <w:pStyle w:val="Heading1"/>
        <w:spacing w:after="160" w:before="360"/>
      </w:pPr>
      <w:r>
        <w:rPr>
          <w:b/>
          <w:bCs/>
          <w:color w:val="1E1B4B"/>
        </w:rPr>
        <w:t xml:space="preserve">3. Public cible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1E1B4B" w:val="clear"/>
            <w:tcMar>
              <w:top w:type="dxa" w:w="80"/>
              <w:left w:type="dxa" w:w="100"/>
              <w:bottom w:type="dxa" w:w="80"/>
              <w:right w:type="dxa" w:w="100"/>
            </w:tcMar>
          </w:tcPr>
          <w:p>
            <w:r>
              <w:rPr>
                <w:b/>
                <w:bCs/>
                <w:color w:val="FFFFFF"/>
                <w:sz w:val="20"/>
                <w:szCs w:val="20"/>
              </w:rPr>
              <w:t xml:space="preserve">Profil</w:t>
            </w:r>
          </w:p>
        </w:tc>
        <w:tc>
          <w:tcPr>
            <w:tcW w:type="dxa" w:w="5800"/>
            <w:shd w:fill="1E1B4B" w:val="clear"/>
            <w:tcMar>
              <w:top w:type="dxa" w:w="80"/>
              <w:left w:type="dxa" w:w="100"/>
              <w:bottom w:type="dxa" w:w="80"/>
              <w:right w:type="dxa" w:w="100"/>
            </w:tcMar>
          </w:tcPr>
          <w:p>
            <w:r>
              <w:rPr>
                <w:b/>
                <w:bCs/>
                <w:color w:val="FFFFFF"/>
                <w:sz w:val="20"/>
                <w:szCs w:val="20"/>
              </w:rPr>
              <w:t xml:space="preserve">Rôle dans l'application</w:t>
            </w:r>
          </w:p>
        </w:tc>
      </w:tr>
      <w:tr>
        <w:tc>
          <w:tcPr>
            <w:tcW w:type="dxa" w:w="3200"/>
            <w:tcMar>
              <w:top w:type="dxa" w:w="80"/>
              <w:left w:type="dxa" w:w="100"/>
              <w:bottom w:type="dxa" w:w="80"/>
              <w:right w:type="dxa" w:w="100"/>
            </w:tcMar>
          </w:tcPr>
          <w:p>
            <w:r>
              <w:rPr>
                <w:b w:val="false"/>
                <w:bCs w:val="false"/>
                <w:color w:val="000000"/>
                <w:sz w:val="20"/>
                <w:szCs w:val="20"/>
              </w:rPr>
              <w:t xml:space="preserve">L'adolescent (13–19 ans)</w:t>
            </w:r>
          </w:p>
        </w:tc>
        <w:tc>
          <w:tcPr>
            <w:tcW w:type="dxa" w:w="5800"/>
            <w:tcMar>
              <w:top w:type="dxa" w:w="80"/>
              <w:left w:type="dxa" w:w="100"/>
              <w:bottom w:type="dxa" w:w="80"/>
              <w:right w:type="dxa" w:w="100"/>
            </w:tcMar>
          </w:tcPr>
          <w:p>
            <w:r>
              <w:rPr>
                <w:b w:val="false"/>
                <w:bCs w:val="false"/>
                <w:color w:val="000000"/>
                <w:sz w:val="20"/>
                <w:szCs w:val="20"/>
              </w:rPr>
              <w:t xml:space="preserve">Utilisateur principal, anonyme, en recherche d'écoute ou de soutien</w:t>
            </w:r>
          </w:p>
        </w:tc>
      </w:tr>
      <w:tr>
        <w:tc>
          <w:tcPr>
            <w:tcW w:type="dxa" w:w="3200"/>
            <w:tcMar>
              <w:top w:type="dxa" w:w="80"/>
              <w:left w:type="dxa" w:w="100"/>
              <w:bottom w:type="dxa" w:w="80"/>
              <w:right w:type="dxa" w:w="100"/>
            </w:tcMar>
          </w:tcPr>
          <w:p>
            <w:r>
              <w:rPr>
                <w:b w:val="false"/>
                <w:bCs w:val="false"/>
                <w:color w:val="000000"/>
                <w:sz w:val="20"/>
                <w:szCs w:val="20"/>
              </w:rPr>
              <w:t xml:space="preserve">L'écoutant</w:t>
            </w:r>
          </w:p>
        </w:tc>
        <w:tc>
          <w:tcPr>
            <w:tcW w:type="dxa" w:w="5800"/>
            <w:tcMar>
              <w:top w:type="dxa" w:w="80"/>
              <w:left w:type="dxa" w:w="100"/>
              <w:bottom w:type="dxa" w:w="80"/>
              <w:right w:type="dxa" w:w="100"/>
            </w:tcMar>
          </w:tcPr>
          <w:p>
            <w:r>
              <w:rPr>
                <w:b w:val="false"/>
                <w:bCs w:val="false"/>
                <w:color w:val="000000"/>
                <w:sz w:val="20"/>
                <w:szCs w:val="20"/>
              </w:rPr>
              <w:t xml:space="preserve">Volontaire formé et validé, échange en tchat ou anime un cercle d'écoute</w:t>
            </w:r>
          </w:p>
        </w:tc>
      </w:tr>
      <w:tr>
        <w:tc>
          <w:tcPr>
            <w:tcW w:type="dxa" w:w="3200"/>
            <w:tcMar>
              <w:top w:type="dxa" w:w="80"/>
              <w:left w:type="dxa" w:w="100"/>
              <w:bottom w:type="dxa" w:w="80"/>
              <w:right w:type="dxa" w:w="100"/>
            </w:tcMar>
          </w:tcPr>
          <w:p>
            <w:r>
              <w:rPr>
                <w:b w:val="false"/>
                <w:bCs w:val="false"/>
                <w:color w:val="000000"/>
                <w:sz w:val="20"/>
                <w:szCs w:val="20"/>
              </w:rPr>
              <w:t xml:space="preserve">Le psychologue partenaire</w:t>
            </w:r>
          </w:p>
        </w:tc>
        <w:tc>
          <w:tcPr>
            <w:tcW w:type="dxa" w:w="5800"/>
            <w:tcMar>
              <w:top w:type="dxa" w:w="80"/>
              <w:left w:type="dxa" w:w="100"/>
              <w:bottom w:type="dxa" w:w="80"/>
              <w:right w:type="dxa" w:w="100"/>
            </w:tcMar>
          </w:tcPr>
          <w:p>
            <w:r>
              <w:rPr>
                <w:b w:val="false"/>
                <w:bCs w:val="false"/>
                <w:color w:val="000000"/>
                <w:sz w:val="20"/>
                <w:szCs w:val="20"/>
              </w:rPr>
              <w:t xml:space="preserve">Professionnel certifié, pris en charge des cas orientés, seul habilité aux séances physiques</w:t>
            </w:r>
          </w:p>
        </w:tc>
      </w:tr>
      <w:tr>
        <w:tc>
          <w:tcPr>
            <w:tcW w:type="dxa" w:w="3200"/>
            <w:tcMar>
              <w:top w:type="dxa" w:w="80"/>
              <w:left w:type="dxa" w:w="100"/>
              <w:bottom w:type="dxa" w:w="80"/>
              <w:right w:type="dxa" w:w="100"/>
            </w:tcMar>
          </w:tcPr>
          <w:p>
            <w:r>
              <w:rPr>
                <w:b w:val="false"/>
                <w:bCs w:val="false"/>
                <w:color w:val="000000"/>
                <w:sz w:val="20"/>
                <w:szCs w:val="20"/>
              </w:rPr>
              <w:t xml:space="preserve">Le superviseur / admin</w:t>
            </w:r>
          </w:p>
        </w:tc>
        <w:tc>
          <w:tcPr>
            <w:tcW w:type="dxa" w:w="5800"/>
            <w:tcMar>
              <w:top w:type="dxa" w:w="80"/>
              <w:left w:type="dxa" w:w="100"/>
              <w:bottom w:type="dxa" w:w="80"/>
              <w:right w:type="dxa" w:w="100"/>
            </w:tcMar>
          </w:tcPr>
          <w:p>
            <w:r>
              <w:rPr>
                <w:b w:val="false"/>
                <w:bCs w:val="false"/>
                <w:color w:val="000000"/>
                <w:sz w:val="20"/>
                <w:szCs w:val="20"/>
              </w:rPr>
              <w:t xml:space="preserve">Reçoit les alertes, valide les écoutants, gère l'annuaire de ressources</w:t>
            </w:r>
          </w:p>
        </w:tc>
      </w:tr>
    </w:tbl>
    <w:p>
      <w:pPr>
        <w:spacing w:after="200" w:before="60"/>
      </w:pPr>
      <w:r>
        <w:rPr>
          <w:i/>
          <w:iCs/>
          <w:color w:val="555555"/>
          <w:sz w:val="18"/>
          <w:szCs w:val="18"/>
        </w:rPr>
        <w:t xml:space="preserve">Quatre profils utilisateurs, chacun avec un parcours et des permissions distincts.</w:t>
      </w:r>
    </w:p>
    <w:p>
      <w:pPr>
        <w:pStyle w:val="Heading1"/>
        <w:spacing w:after="160" w:before="360"/>
      </w:pPr>
      <w:r>
        <w:rPr>
          <w:b/>
          <w:bCs/>
          <w:color w:val="1E1B4B"/>
        </w:rPr>
        <w:t xml:space="preserve">4. Description fonctionnelle</w:t>
      </w:r>
    </w:p>
    <w:p>
      <w:pPr>
        <w:pStyle w:val="Heading2"/>
        <w:spacing w:after="120" w:before="240"/>
      </w:pPr>
      <w:r>
        <w:rPr>
          <w:b/>
          <w:bCs/>
          <w:color w:val="1E1B4B"/>
        </w:rPr>
        <w:t xml:space="preserve">4.1 Côté adolescent</w:t>
      </w:r>
    </w:p>
    <w:p>
      <w:pPr>
        <w:pStyle w:val="ListParagraph"/>
        <w:numPr>
          <w:ilvl w:val="0"/>
          <w:numId w:val="2"/>
        </w:numPr>
        <w:spacing w:after="80"/>
      </w:pPr>
      <w:r>
        <w:rPr>
          <w:b/>
          <w:bCs/>
        </w:rPr>
        <w:t xml:space="preserve">Accueil rassurant — </w:t>
      </w:r>
      <w:r>
        <w:t xml:space="preserve">message d'ouverture (« Nous sommes là pour toi ») avant l'inscription, pour poser un cadre bienveillant dès la première seconde.</w:t>
      </w:r>
    </w:p>
    <w:p>
      <w:pPr>
        <w:pStyle w:val="ListParagraph"/>
        <w:numPr>
          <w:ilvl w:val="0"/>
          <w:numId w:val="2"/>
        </w:numPr>
        <w:spacing w:after="80"/>
      </w:pPr>
      <w:r>
        <w:rPr>
          <w:b/>
          <w:bCs/>
        </w:rPr>
        <w:t xml:space="preserve">Inscription anonyme — </w:t>
      </w:r>
      <w:r>
        <w:t xml:space="preserve">pseudo, âge, mot de passe et confirmation ; aucune donnée identifiante requise.</w:t>
      </w:r>
    </w:p>
    <w:p>
      <w:pPr>
        <w:pStyle w:val="ListParagraph"/>
        <w:numPr>
          <w:ilvl w:val="0"/>
          <w:numId w:val="2"/>
        </w:numPr>
        <w:spacing w:after="80"/>
      </w:pPr>
      <w:r>
        <w:rPr>
          <w:b/>
          <w:bCs/>
        </w:rPr>
        <w:t xml:space="preserve">Verrouillage applicatif — </w:t>
      </w:r>
      <w:r>
        <w:t xml:space="preserve">double sécurité Face ID + mot de passe à chaque ouverture, pour protéger la confidentialité du contenu.</w:t>
      </w:r>
    </w:p>
    <w:p>
      <w:pPr>
        <w:pStyle w:val="ListParagraph"/>
        <w:numPr>
          <w:ilvl w:val="0"/>
          <w:numId w:val="2"/>
        </w:numPr>
        <w:spacing w:after="80"/>
      </w:pPr>
      <w:r>
        <w:rPr>
          <w:b/>
          <w:bCs/>
        </w:rPr>
        <w:t xml:space="preserve">Journal émotionnel — </w:t>
      </w:r>
      <w:r>
        <w:t xml:space="preserve">texte libre, sélecteur d'humeur, mais aussi enregistrements audio et photos, avec historique privé.</w:t>
      </w:r>
    </w:p>
    <w:p>
      <w:pPr>
        <w:pStyle w:val="ListParagraph"/>
        <w:numPr>
          <w:ilvl w:val="0"/>
          <w:numId w:val="2"/>
        </w:numPr>
        <w:spacing w:after="80"/>
      </w:pPr>
      <w:r>
        <w:rPr>
          <w:b/>
          <w:bCs/>
        </w:rPr>
        <w:t xml:space="preserve">Mise en relation avec un écoutant — </w:t>
      </w:r>
      <w:r>
        <w:t xml:space="preserve">tchat privé en temps réel avec un volontaire humain formé.</w:t>
      </w:r>
    </w:p>
    <w:p>
      <w:pPr>
        <w:pStyle w:val="ListParagraph"/>
        <w:numPr>
          <w:ilvl w:val="0"/>
          <w:numId w:val="2"/>
        </w:numPr>
        <w:spacing w:after="80"/>
      </w:pPr>
      <w:r>
        <w:rPr>
          <w:b/>
          <w:bCs/>
        </w:rPr>
        <w:t xml:space="preserve">Cercles d'écoute — </w:t>
      </w:r>
      <w:r>
        <w:t xml:space="preserve">petits groupes thématiques (pression scolaire, solitude, violences...) animés par un écoutant.</w:t>
      </w:r>
    </w:p>
    <w:p>
      <w:pPr>
        <w:pStyle w:val="ListParagraph"/>
        <w:numPr>
          <w:ilvl w:val="0"/>
          <w:numId w:val="2"/>
        </w:numPr>
        <w:spacing w:after="80"/>
      </w:pPr>
      <w:r>
        <w:rPr>
          <w:b/>
          <w:bCs/>
        </w:rPr>
        <w:t xml:space="preserve">Bouton SOS — </w:t>
      </w:r>
      <w:r>
        <w:t xml:space="preserve">accessible en permanence depuis n'importe quel écran, jamais caché dans un sous-menu.</w:t>
      </w:r>
    </w:p>
    <w:p>
      <w:pPr>
        <w:pStyle w:val="ListParagraph"/>
        <w:numPr>
          <w:ilvl w:val="0"/>
          <w:numId w:val="2"/>
        </w:numPr>
        <w:spacing w:after="80"/>
      </w:pPr>
      <w:r>
        <w:rPr>
          <w:b/>
          <w:bCs/>
        </w:rPr>
        <w:t xml:space="preserve">Annuaire de ressources — </w:t>
      </w:r>
      <w:r>
        <w:t xml:space="preserve">psychologues, ONG et centres d'écoute, filtrables par ville.</w:t>
      </w:r>
    </w:p>
    <w:p>
      <w:pPr>
        <w:pStyle w:val="Heading2"/>
        <w:spacing w:after="120" w:before="240"/>
      </w:pPr>
      <w:r>
        <w:rPr>
          <w:b/>
          <w:bCs/>
          <w:color w:val="1E1B4B"/>
        </w:rPr>
        <w:t xml:space="preserve">4.2 Côté écoutant</w:t>
      </w:r>
    </w:p>
    <w:p>
      <w:pPr>
        <w:pStyle w:val="ListParagraph"/>
        <w:numPr>
          <w:ilvl w:val="0"/>
          <w:numId w:val="2"/>
        </w:numPr>
        <w:spacing w:after="80"/>
      </w:pPr>
      <w:r>
        <w:rPr>
          <w:b/>
          <w:bCs/>
        </w:rPr>
        <w:t xml:space="preserve">Accès validé — </w:t>
      </w:r>
      <w:r>
        <w:t xml:space="preserve">connexion par compte créé après validation, pas d'inscription libre.</w:t>
      </w:r>
    </w:p>
    <w:p>
      <w:pPr>
        <w:pStyle w:val="ListParagraph"/>
        <w:numPr>
          <w:ilvl w:val="0"/>
          <w:numId w:val="2"/>
        </w:numPr>
        <w:spacing w:after="80"/>
      </w:pPr>
      <w:r>
        <w:rPr>
          <w:b/>
          <w:bCs/>
        </w:rPr>
        <w:t xml:space="preserve">Tableau de bord — </w:t>
      </w:r>
      <w:r>
        <w:t xml:space="preserve">disponibilité, demandes en attente, conversations en cours, statistiques d'accompagnement.</w:t>
      </w:r>
    </w:p>
    <w:p>
      <w:pPr>
        <w:pStyle w:val="ListParagraph"/>
        <w:numPr>
          <w:ilvl w:val="0"/>
          <w:numId w:val="2"/>
        </w:numPr>
        <w:spacing w:after="80"/>
      </w:pPr>
      <w:r>
        <w:rPr>
          <w:b/>
          <w:bCs/>
        </w:rPr>
        <w:t xml:space="preserve">Chat en direct — </w:t>
      </w:r>
      <w:r>
        <w:t xml:space="preserve">échange humain à humain avec l'ado, avec un bouton « Signaler » toujours visible.</w:t>
      </w:r>
    </w:p>
    <w:p>
      <w:pPr>
        <w:pStyle w:val="ListParagraph"/>
        <w:numPr>
          <w:ilvl w:val="0"/>
          <w:numId w:val="2"/>
        </w:numPr>
        <w:spacing w:after="80"/>
      </w:pPr>
      <w:r>
        <w:rPr>
          <w:b/>
          <w:bCs/>
        </w:rPr>
        <w:t xml:space="preserve">Cercles d'écoute — </w:t>
      </w:r>
      <w:r>
        <w:t xml:space="preserve">modération des échanges de groupe.</w:t>
      </w:r>
    </w:p>
    <w:p>
      <w:pPr>
        <w:pStyle w:val="ListParagraph"/>
        <w:numPr>
          <w:ilvl w:val="0"/>
          <w:numId w:val="2"/>
        </w:numPr>
        <w:spacing w:after="80"/>
      </w:pPr>
      <w:r>
        <w:rPr>
          <w:b/>
          <w:bCs/>
        </w:rPr>
        <w:t xml:space="preserve">Planning — </w:t>
      </w:r>
      <w:r>
        <w:t xml:space="preserve">l'écoutant fixe lui-même ses créneaux pour les cercles ; les séances physiques restent réservées aux psychologues partenaires certifiés, en lieu institutionnel.</w:t>
      </w:r>
    </w:p>
    <w:p>
      <w:pPr>
        <w:pStyle w:val="ListParagraph"/>
        <w:numPr>
          <w:ilvl w:val="0"/>
          <w:numId w:val="2"/>
        </w:numPr>
        <w:spacing w:after="80"/>
      </w:pPr>
      <w:r>
        <w:rPr>
          <w:b/>
          <w:bCs/>
        </w:rPr>
        <w:t xml:space="preserve">Escalade — </w:t>
      </w:r>
      <w:r>
        <w:t xml:space="preserve">formulaire pour transmettre une situation préoccupante à un superviseur humain.</w:t>
      </w:r>
    </w:p>
    <w:p>
      <w:pPr>
        <w:pStyle w:val="Heading2"/>
        <w:spacing w:after="120" w:before="240"/>
      </w:pPr>
      <w:r>
        <w:rPr>
          <w:b/>
          <w:bCs/>
          <w:color w:val="1E1B4B"/>
        </w:rPr>
        <w:t xml:space="preserve">4.3 Côté admin / superviseur</w:t>
      </w:r>
    </w:p>
    <w:p>
      <w:pPr>
        <w:pStyle w:val="ListParagraph"/>
        <w:numPr>
          <w:ilvl w:val="0"/>
          <w:numId w:val="2"/>
        </w:numPr>
        <w:spacing w:after="80"/>
      </w:pPr>
      <w:r>
        <w:rPr>
          <w:b/>
          <w:bCs/>
        </w:rPr>
        <w:t xml:space="preserve">Réception centralisée des alertes — </w:t>
      </w:r>
      <w:r>
        <w:t xml:space="preserve">qu'elles viennent d'un écoutant ou du module de surveillance IA, toutes arrivent au même endroit.</w:t>
      </w:r>
    </w:p>
    <w:p>
      <w:pPr>
        <w:pStyle w:val="ListParagraph"/>
        <w:numPr>
          <w:ilvl w:val="0"/>
          <w:numId w:val="2"/>
        </w:numPr>
        <w:spacing w:after="80"/>
      </w:pPr>
      <w:r>
        <w:rPr>
          <w:b/>
          <w:bCs/>
        </w:rPr>
        <w:t xml:space="preserve">Traitement des alertes — </w:t>
      </w:r>
      <w:r>
        <w:t xml:space="preserve">consultation de l'échange concerné, puis décision humaine : contacter l'ado, orienter vers un psychologue, ou clôturer.</w:t>
      </w:r>
    </w:p>
    <w:p>
      <w:pPr>
        <w:pStyle w:val="ListParagraph"/>
        <w:numPr>
          <w:ilvl w:val="0"/>
          <w:numId w:val="2"/>
        </w:numPr>
        <w:spacing w:after="80"/>
      </w:pPr>
      <w:r>
        <w:rPr>
          <w:b/>
          <w:bCs/>
        </w:rPr>
        <w:t xml:space="preserve">Validation des écoutants — </w:t>
      </w:r>
      <w:r>
        <w:t xml:space="preserve">examen des candidatures (attestation, institution partenaire, formation suivie, entretien) avant activation du compte.</w:t>
      </w:r>
    </w:p>
    <w:p>
      <w:pPr>
        <w:pStyle w:val="ListParagraph"/>
        <w:numPr>
          <w:ilvl w:val="0"/>
          <w:numId w:val="2"/>
        </w:numPr>
        <w:spacing w:after="80"/>
      </w:pPr>
      <w:r>
        <w:rPr>
          <w:b/>
          <w:bCs/>
        </w:rPr>
        <w:t xml:space="preserve">Gestion de l'annuaire — </w:t>
      </w:r>
      <w:r>
        <w:t xml:space="preserve">ajout et mise à jour des ressources locales disponibles.</w:t>
      </w:r>
    </w:p>
    <w:p>
      <w:pPr>
        <w:pStyle w:val="Heading1"/>
        <w:spacing w:after="160" w:before="360"/>
      </w:pPr>
      <w:r>
        <w:rPr>
          <w:b/>
          <w:bCs/>
          <w:color w:val="1E1B4B"/>
        </w:rPr>
        <w:t xml:space="preserve">5. Approche éthique et sécurité</w:t>
      </w:r>
    </w:p>
    <w:p>
      <w:pPr>
        <w:pStyle w:val="Heading2"/>
        <w:spacing w:after="120" w:before="240"/>
      </w:pPr>
      <w:r>
        <w:rPr>
          <w:b/>
          <w:bCs/>
          <w:color w:val="1E1B4B"/>
        </w:rPr>
        <w:t xml:space="preserve">5.1 Un principe non négociable : aucun chatbot face à la détresse</w:t>
      </w:r>
    </w:p>
    <w:p>
      <w:pPr>
        <w:spacing w:after="160" w:line="300"/>
      </w:pPr>
      <w:r>
        <w:rPr>
          <w:i w:val="false"/>
          <w:iCs w:val="false"/>
        </w:rPr>
        <w:t xml:space="preserve">Dès la conception, il a été décidé qu'aucune réponse automatisée ne serait jamais adressée à un ado en souffrance. Chaque échange — tchat, cercle d'écoute, alerte — implique une personne réelle. L'intelligence artificielle n'est utilisée qu'en coulisses, jamais comme interlocuteur.</w:t>
      </w:r>
    </w:p>
    <w:p>
      <w:pPr>
        <w:pStyle w:val="Heading2"/>
        <w:spacing w:after="120" w:before="240"/>
      </w:pPr>
      <w:r>
        <w:rPr>
          <w:b/>
          <w:bCs/>
          <w:color w:val="1E1B4B"/>
        </w:rPr>
        <w:t xml:space="preserve">5.2 Le module de supervision IA</w:t>
      </w:r>
    </w:p>
    <w:p>
      <w:pPr>
        <w:spacing w:after="160" w:line="300"/>
      </w:pPr>
      <w:r>
        <w:rPr>
          <w:i w:val="false"/>
          <w:iCs w:val="false"/>
        </w:rPr>
        <w:t xml:space="preserve">Un module analyse discrètement les échanges entre écoutants/psychologues et utilisateurs pour repérer deux types de signaux : une détresse aiguë chez l'ado, ou un conseil inapproprié de la part de l'écoutant. Dans les deux cas, l'IA ne fait qu'alerter un superviseur humain — jamais elle ne répond, jamais elle ne décide seule.</w:t>
      </w:r>
    </w:p>
    <w:p>
      <w:pPr>
        <w:pStyle w:val="ListParagraph"/>
        <w:numPr>
          <w:ilvl w:val="0"/>
          <w:numId w:val="2"/>
        </w:numPr>
        <w:spacing w:after="80"/>
      </w:pPr>
      <w:r>
        <w:t xml:space="preserve">Consentement à l'analyse mentionné dès l'inscription, pour l'ado comme pour l'écoutant.</w:t>
      </w:r>
    </w:p>
    <w:p>
      <w:pPr>
        <w:pStyle w:val="ListParagraph"/>
        <w:numPr>
          <w:ilvl w:val="0"/>
          <w:numId w:val="2"/>
        </w:numPr>
        <w:spacing w:after="80"/>
      </w:pPr>
      <w:r>
        <w:t xml:space="preserve">Anonymisation maximale des données utilisées pour l'analyse.</w:t>
      </w:r>
    </w:p>
    <w:p>
      <w:pPr>
        <w:pStyle w:val="ListParagraph"/>
        <w:numPr>
          <w:ilvl w:val="0"/>
          <w:numId w:val="2"/>
        </w:numPr>
        <w:spacing w:after="80"/>
      </w:pPr>
      <w:r>
        <w:t xml:space="preserve">Traçabilité : chaque alerte traitée est justifiée et enregistrée.</w:t>
      </w:r>
    </w:p>
    <w:p>
      <w:pPr>
        <w:pStyle w:val="Heading2"/>
        <w:spacing w:after="120" w:before="240"/>
      </w:pPr>
      <w:r>
        <w:rPr>
          <w:b/>
          <w:bCs/>
          <w:color w:val="1E1B4B"/>
        </w:rPr>
        <w:t xml:space="preserve">5.3 Protection de l'enfance</w:t>
      </w:r>
    </w:p>
    <w:p>
      <w:pPr>
        <w:spacing w:after="160" w:line="300"/>
      </w:pPr>
      <w:r>
        <w:rPr>
          <w:i w:val="false"/>
          <w:iCs w:val="false"/>
        </w:rPr>
        <w:t xml:space="preserve">Les utilisateurs étant mineurs, une vigilance particulière encadre toute forme de contact allant au-delà du tchat à distance :</w:t>
      </w:r>
    </w:p>
    <w:p>
      <w:pPr>
        <w:pStyle w:val="ListParagraph"/>
        <w:numPr>
          <w:ilvl w:val="0"/>
          <w:numId w:val="2"/>
        </w:numPr>
        <w:spacing w:after="80"/>
      </w:pPr>
      <w:r>
        <w:t xml:space="preserve">Les séances physiques sont réservées exclusivement aux psychologues partenaires certifiés — jamais aux écoutants volontaires.</w:t>
      </w:r>
    </w:p>
    <w:p>
      <w:pPr>
        <w:pStyle w:val="ListParagraph"/>
        <w:numPr>
          <w:ilvl w:val="0"/>
          <w:numId w:val="2"/>
        </w:numPr>
        <w:spacing w:after="80"/>
      </w:pPr>
      <w:r>
        <w:t xml:space="preserve">Elles se déroulent uniquement dans un lieu institutionnel (cabinet partenaire, centre de santé), jamais dans un lieu privé.</w:t>
      </w:r>
    </w:p>
    <w:p>
      <w:pPr>
        <w:pStyle w:val="ListParagraph"/>
        <w:numPr>
          <w:ilvl w:val="0"/>
          <w:numId w:val="2"/>
        </w:numPr>
        <w:spacing w:after="80"/>
      </w:pPr>
      <w:r>
        <w:t xml:space="preserve">Aucune mise en relation physique ne se fait sans validation par un superviseur.</w:t>
      </w:r>
    </w:p>
    <w:p>
      <w:pPr>
        <w:pStyle w:val="Heading2"/>
        <w:spacing w:after="120" w:before="240"/>
      </w:pPr>
      <w:r>
        <w:rPr>
          <w:b/>
          <w:bCs/>
          <w:color w:val="1E1B4B"/>
        </w:rPr>
        <w:t xml:space="preserve">5.4 Vérification des écoutants</w:t>
      </w:r>
    </w:p>
    <w:p>
      <w:pPr>
        <w:spacing w:after="160" w:line="300"/>
      </w:pPr>
      <w:r>
        <w:rPr>
          <w:i w:val="false"/>
          <w:iCs w:val="false"/>
        </w:rPr>
        <w:t xml:space="preserve">Faute de registre national fiable pour vérifier un diplôme à distance, la validation repose sur plusieurs couches complémentaires :</w:t>
      </w:r>
    </w:p>
    <w:p>
      <w:pPr>
        <w:pStyle w:val="ListParagraph"/>
        <w:numPr>
          <w:ilvl w:val="0"/>
          <w:numId w:val="2"/>
        </w:numPr>
        <w:spacing w:after="80"/>
      </w:pPr>
      <w:r>
        <w:t xml:space="preserve">Partenariat avec une institution reconnue (faculté de psychologie, ONG déjà établie) qui pré-valide ses volontaires.</w:t>
      </w:r>
    </w:p>
    <w:p>
      <w:pPr>
        <w:pStyle w:val="ListParagraph"/>
        <w:numPr>
          <w:ilvl w:val="0"/>
          <w:numId w:val="2"/>
        </w:numPr>
        <w:spacing w:after="80"/>
      </w:pPr>
      <w:r>
        <w:t xml:space="preserve">Formation obligatoire intégrée à l'application, avec évaluation, quel que soit le parcours d'origine.</w:t>
      </w:r>
    </w:p>
    <w:p>
      <w:pPr>
        <w:pStyle w:val="ListParagraph"/>
        <w:numPr>
          <w:ilvl w:val="0"/>
          <w:numId w:val="2"/>
        </w:numPr>
        <w:spacing w:after="80"/>
      </w:pPr>
      <w:r>
        <w:t xml:space="preserve">Entretien humain avec le superviseur avant toute activation de compte.</w:t>
      </w:r>
    </w:p>
    <w:p>
      <w:pPr>
        <w:pStyle w:val="ListParagraph"/>
        <w:numPr>
          <w:ilvl w:val="0"/>
          <w:numId w:val="2"/>
        </w:numPr>
        <w:spacing w:after="80"/>
      </w:pPr>
      <w:r>
        <w:t xml:space="preserve">Période probatoire supervisée avant autonomie complète.</w:t>
      </w:r>
    </w:p>
    <w:p>
      <w:pPr>
        <w:pStyle w:val="Heading1"/>
        <w:spacing w:after="160" w:before="360"/>
      </w:pPr>
      <w:r>
        <w:rPr>
          <w:b/>
          <w:bCs/>
          <w:color w:val="1E1B4B"/>
        </w:rPr>
        <w:t xml:space="preserve">6. Identité de marque</w:t>
      </w:r>
    </w:p>
    <w:p>
      <w:pPr>
        <w:spacing w:after="160" w:line="300"/>
      </w:pPr>
      <w:r>
        <w:rPr>
          <w:i w:val="false"/>
          <w:iCs w:val="false"/>
        </w:rPr>
        <w:t xml:space="preserve">Le nom retenu doit porter une résonance africaine et incarner le réconfort. Deux finalistes ont émergé d'un travail de recherche autour de langues et cultures africaines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2800"/>
      </w:tblGrid>
      <w:tr>
        <w:tc>
          <w:tcPr>
            <w:tcW w:type="dxa" w:w="2000"/>
            <w:shd w:fill="1E1B4B" w:val="clear"/>
            <w:tcMar>
              <w:top w:type="dxa" w:w="80"/>
              <w:left w:type="dxa" w:w="100"/>
              <w:bottom w:type="dxa" w:w="80"/>
              <w:right w:type="dxa" w:w="100"/>
            </w:tcMar>
          </w:tcPr>
          <w:p>
            <w:r>
              <w:rPr>
                <w:b/>
                <w:bCs/>
                <w:color w:val="FFFFFF"/>
                <w:sz w:val="20"/>
                <w:szCs w:val="20"/>
              </w:rPr>
              <w:t xml:space="preserve">Nom</w:t>
            </w:r>
          </w:p>
        </w:tc>
        <w:tc>
          <w:tcPr>
            <w:tcW w:type="dxa" w:w="4200"/>
            <w:shd w:fill="1E1B4B" w:val="clear"/>
            <w:tcMar>
              <w:top w:type="dxa" w:w="80"/>
              <w:left w:type="dxa" w:w="100"/>
              <w:bottom w:type="dxa" w:w="80"/>
              <w:right w:type="dxa" w:w="100"/>
            </w:tcMar>
          </w:tcPr>
          <w:p>
            <w:r>
              <w:rPr>
                <w:b/>
                <w:bCs/>
                <w:color w:val="FFFFFF"/>
                <w:sz w:val="20"/>
                <w:szCs w:val="20"/>
              </w:rPr>
              <w:t xml:space="preserve">Construction</w:t>
            </w:r>
          </w:p>
        </w:tc>
        <w:tc>
          <w:tcPr>
            <w:tcW w:type="dxa" w:w="2800"/>
            <w:shd w:fill="1E1B4B" w:val="clear"/>
            <w:tcMar>
              <w:top w:type="dxa" w:w="80"/>
              <w:left w:type="dxa" w:w="100"/>
              <w:bottom w:type="dxa" w:w="80"/>
              <w:right w:type="dxa" w:w="100"/>
            </w:tcMar>
          </w:tcPr>
          <w:p>
            <w:r>
              <w:rPr>
                <w:b/>
                <w:bCs/>
                <w:color w:val="FFFFFF"/>
                <w:sz w:val="20"/>
                <w:szCs w:val="20"/>
              </w:rPr>
              <w:t xml:space="preserve">Sens porté</w:t>
            </w:r>
          </w:p>
        </w:tc>
      </w:tr>
      <w:tr>
        <w:tc>
          <w:tcPr>
            <w:tcW w:type="dxa" w:w="2000"/>
            <w:tcMar>
              <w:top w:type="dxa" w:w="80"/>
              <w:left w:type="dxa" w:w="100"/>
              <w:bottom w:type="dxa" w:w="80"/>
              <w:right w:type="dxa" w:w="100"/>
            </w:tcMar>
          </w:tcPr>
          <w:p>
            <w:r>
              <w:rPr>
                <w:b w:val="false"/>
                <w:bCs w:val="false"/>
                <w:color w:val="000000"/>
                <w:sz w:val="20"/>
                <w:szCs w:val="20"/>
              </w:rPr>
              <w:t xml:space="preserve">Farani</w:t>
            </w:r>
          </w:p>
        </w:tc>
        <w:tc>
          <w:tcPr>
            <w:tcW w:type="dxa" w:w="4200"/>
            <w:tcMar>
              <w:top w:type="dxa" w:w="80"/>
              <w:left w:type="dxa" w:w="100"/>
              <w:bottom w:type="dxa" w:w="80"/>
              <w:right w:type="dxa" w:w="100"/>
            </w:tcMar>
          </w:tcPr>
          <w:p>
            <w:r>
              <w:rPr>
                <w:b w:val="false"/>
                <w:bCs w:val="false"/>
                <w:color w:val="000000"/>
                <w:sz w:val="20"/>
                <w:szCs w:val="20"/>
              </w:rPr>
              <w:t xml:space="preserve">Faraja (swahili, « réconfort ») + Amani (swahili, « paix »)</w:t>
            </w:r>
          </w:p>
        </w:tc>
        <w:tc>
          <w:tcPr>
            <w:tcW w:type="dxa" w:w="2800"/>
            <w:tcMar>
              <w:top w:type="dxa" w:w="80"/>
              <w:left w:type="dxa" w:w="100"/>
              <w:bottom w:type="dxa" w:w="80"/>
              <w:right w:type="dxa" w:w="100"/>
            </w:tcMar>
          </w:tcPr>
          <w:p>
            <w:r>
              <w:rPr>
                <w:b w:val="false"/>
                <w:bCs w:val="false"/>
                <w:color w:val="000000"/>
                <w:sz w:val="20"/>
                <w:szCs w:val="20"/>
              </w:rPr>
              <w:t xml:space="preserve">Réconfort et paix</w:t>
            </w:r>
          </w:p>
        </w:tc>
      </w:tr>
      <w:tr>
        <w:tc>
          <w:tcPr>
            <w:tcW w:type="dxa" w:w="2000"/>
            <w:tcMar>
              <w:top w:type="dxa" w:w="80"/>
              <w:left w:type="dxa" w:w="100"/>
              <w:bottom w:type="dxa" w:w="80"/>
              <w:right w:type="dxa" w:w="100"/>
            </w:tcMar>
          </w:tcPr>
          <w:p>
            <w:r>
              <w:rPr>
                <w:b w:val="false"/>
                <w:bCs w:val="false"/>
                <w:color w:val="000000"/>
                <w:sz w:val="20"/>
                <w:szCs w:val="20"/>
              </w:rPr>
              <w:t xml:space="preserve">Sangolo</w:t>
            </w:r>
          </w:p>
        </w:tc>
        <w:tc>
          <w:tcPr>
            <w:tcW w:type="dxa" w:w="4200"/>
            <w:tcMar>
              <w:top w:type="dxa" w:w="80"/>
              <w:left w:type="dxa" w:w="100"/>
              <w:bottom w:type="dxa" w:w="80"/>
              <w:right w:type="dxa" w:w="100"/>
            </w:tcMar>
          </w:tcPr>
          <w:p>
            <w:r>
              <w:rPr>
                <w:b w:val="false"/>
                <w:bCs w:val="false"/>
                <w:color w:val="000000"/>
                <w:sz w:val="20"/>
                <w:szCs w:val="20"/>
              </w:rPr>
              <w:t xml:space="preserve">Musango (duala, « paix ») + Ndolo (duala/lingala, « amour, tendresse »)</w:t>
            </w:r>
          </w:p>
        </w:tc>
        <w:tc>
          <w:tcPr>
            <w:tcW w:type="dxa" w:w="2800"/>
            <w:tcMar>
              <w:top w:type="dxa" w:w="80"/>
              <w:left w:type="dxa" w:w="100"/>
              <w:bottom w:type="dxa" w:w="80"/>
              <w:right w:type="dxa" w:w="100"/>
            </w:tcMar>
          </w:tcPr>
          <w:p>
            <w:r>
              <w:rPr>
                <w:b w:val="false"/>
                <w:bCs w:val="false"/>
                <w:color w:val="000000"/>
                <w:sz w:val="20"/>
                <w:szCs w:val="20"/>
              </w:rPr>
              <w:t xml:space="preserve">Paix et tendresse</w:t>
            </w:r>
          </w:p>
        </w:tc>
      </w:tr>
    </w:tbl>
    <w:p>
      <w:pPr>
        <w:spacing w:after="200" w:before="60"/>
      </w:pPr>
      <w:r>
        <w:rPr>
          <w:i/>
          <w:iCs/>
          <w:color w:val="555555"/>
          <w:sz w:val="18"/>
          <w:szCs w:val="18"/>
        </w:rPr>
        <w:t xml:space="preserve">Décision finale en attente ; les deux noms restent compatibles avec l'ensemble du cahier des charges.</w:t>
      </w:r>
    </w:p>
    <w:p>
      <w:pPr>
        <w:spacing w:after="160" w:line="300"/>
      </w:pPr>
      <w:r>
        <w:rPr>
          <w:i w:val="false"/>
          <w:iCs w:val="false"/>
        </w:rPr>
        <w:t xml:space="preserve">La direction visuelle explorée s'appuie sur un symbole de mains formant un cœur en creux, en une seule couleur, avec le nom intégré au logo — ce travail est en cours d'affinement avec un outil de design dédié.</w:t>
      </w:r>
    </w:p>
    <w:p>
      <w:pPr>
        <w:pStyle w:val="Heading1"/>
        <w:spacing w:after="160" w:before="360"/>
      </w:pPr>
      <w:r>
        <w:rPr>
          <w:b/>
          <w:bCs/>
          <w:color w:val="1E1B4B"/>
        </w:rPr>
        <w:t xml:space="preserve">7. Architecture technique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c>
          <w:tcPr>
            <w:tcW w:type="dxa" w:w="3400"/>
            <w:shd w:fill="1E1B4B" w:val="clear"/>
            <w:tcMar>
              <w:top w:type="dxa" w:w="80"/>
              <w:left w:type="dxa" w:w="100"/>
              <w:bottom w:type="dxa" w:w="80"/>
              <w:right w:type="dxa" w:w="100"/>
            </w:tcMar>
          </w:tcPr>
          <w:p>
            <w:r>
              <w:rPr>
                <w:b/>
                <w:bCs/>
                <w:color w:val="FFFFFF"/>
                <w:sz w:val="20"/>
                <w:szCs w:val="20"/>
              </w:rPr>
              <w:t xml:space="preserve">Composant</w:t>
            </w:r>
          </w:p>
        </w:tc>
        <w:tc>
          <w:tcPr>
            <w:tcW w:type="dxa" w:w="5600"/>
            <w:shd w:fill="1E1B4B" w:val="clear"/>
            <w:tcMar>
              <w:top w:type="dxa" w:w="80"/>
              <w:left w:type="dxa" w:w="100"/>
              <w:bottom w:type="dxa" w:w="80"/>
              <w:right w:type="dxa" w:w="100"/>
            </w:tcMar>
          </w:tcPr>
          <w:p>
            <w:r>
              <w:rPr>
                <w:b/>
                <w:bCs/>
                <w:color w:val="FFFFFF"/>
                <w:sz w:val="20"/>
                <w:szCs w:val="20"/>
              </w:rPr>
              <w:t xml:space="preserve">Choix technique</w:t>
            </w:r>
          </w:p>
        </w:tc>
      </w:tr>
      <w:tr>
        <w:tc>
          <w:tcPr>
            <w:tcW w:type="dxa" w:w="3400"/>
            <w:tcMar>
              <w:top w:type="dxa" w:w="80"/>
              <w:left w:type="dxa" w:w="100"/>
              <w:bottom w:type="dxa" w:w="80"/>
              <w:right w:type="dxa" w:w="100"/>
            </w:tcMar>
          </w:tcPr>
          <w:p>
            <w:r>
              <w:rPr>
                <w:b w:val="false"/>
                <w:bCs w:val="false"/>
                <w:color w:val="000000"/>
                <w:sz w:val="20"/>
                <w:szCs w:val="20"/>
              </w:rPr>
              <w:t xml:space="preserve">Application mobile</w:t>
            </w:r>
          </w:p>
        </w:tc>
        <w:tc>
          <w:tcPr>
            <w:tcW w:type="dxa" w:w="5600"/>
            <w:tcMar>
              <w:top w:type="dxa" w:w="80"/>
              <w:left w:type="dxa" w:w="100"/>
              <w:bottom w:type="dxa" w:w="80"/>
              <w:right w:type="dxa" w:w="100"/>
            </w:tcMar>
          </w:tcPr>
          <w:p>
            <w:r>
              <w:rPr>
                <w:b w:val="false"/>
                <w:bCs w:val="false"/>
                <w:color w:val="000000"/>
                <w:sz w:val="20"/>
                <w:szCs w:val="20"/>
              </w:rPr>
              <w:t xml:space="preserve">Flutter (iOS et Android)</w:t>
            </w:r>
          </w:p>
        </w:tc>
      </w:tr>
      <w:tr>
        <w:tc>
          <w:tcPr>
            <w:tcW w:type="dxa" w:w="3400"/>
            <w:tcMar>
              <w:top w:type="dxa" w:w="80"/>
              <w:left w:type="dxa" w:w="100"/>
              <w:bottom w:type="dxa" w:w="80"/>
              <w:right w:type="dxa" w:w="100"/>
            </w:tcMar>
          </w:tcPr>
          <w:p>
            <w:r>
              <w:rPr>
                <w:b w:val="false"/>
                <w:bCs w:val="false"/>
                <w:color w:val="000000"/>
                <w:sz w:val="20"/>
                <w:szCs w:val="20"/>
              </w:rPr>
              <w:t xml:space="preserve">Application web</w:t>
            </w:r>
          </w:p>
        </w:tc>
        <w:tc>
          <w:tcPr>
            <w:tcW w:type="dxa" w:w="5600"/>
            <w:tcMar>
              <w:top w:type="dxa" w:w="80"/>
              <w:left w:type="dxa" w:w="100"/>
              <w:bottom w:type="dxa" w:w="80"/>
              <w:right w:type="dxa" w:w="100"/>
            </w:tcMar>
          </w:tcPr>
          <w:p>
            <w:r>
              <w:rPr>
                <w:b w:val="false"/>
                <w:bCs w:val="false"/>
                <w:color w:val="000000"/>
                <w:sz w:val="20"/>
                <w:szCs w:val="20"/>
              </w:rPr>
              <w:t xml:space="preserve">Flutter Web, connectée à la même API</w:t>
            </w:r>
          </w:p>
        </w:tc>
      </w:tr>
      <w:tr>
        <w:tc>
          <w:tcPr>
            <w:tcW w:type="dxa" w:w="3400"/>
            <w:tcMar>
              <w:top w:type="dxa" w:w="80"/>
              <w:left w:type="dxa" w:w="100"/>
              <w:bottom w:type="dxa" w:w="80"/>
              <w:right w:type="dxa" w:w="100"/>
            </w:tcMar>
          </w:tcPr>
          <w:p>
            <w:r>
              <w:rPr>
                <w:b w:val="false"/>
                <w:bCs w:val="false"/>
                <w:color w:val="000000"/>
                <w:sz w:val="20"/>
                <w:szCs w:val="20"/>
              </w:rPr>
              <w:t xml:space="preserve">Backend / API</w:t>
            </w:r>
          </w:p>
        </w:tc>
        <w:tc>
          <w:tcPr>
            <w:tcW w:type="dxa" w:w="5600"/>
            <w:tcMar>
              <w:top w:type="dxa" w:w="80"/>
              <w:left w:type="dxa" w:w="100"/>
              <w:bottom w:type="dxa" w:w="80"/>
              <w:right w:type="dxa" w:w="100"/>
            </w:tcMar>
          </w:tcPr>
          <w:p>
            <w:r>
              <w:rPr>
                <w:b w:val="false"/>
                <w:bCs w:val="false"/>
                <w:color w:val="000000"/>
                <w:sz w:val="20"/>
                <w:szCs w:val="20"/>
              </w:rPr>
              <w:t xml:space="preserve">Django + Django REST Framework</w:t>
            </w:r>
          </w:p>
        </w:tc>
      </w:tr>
      <w:tr>
        <w:tc>
          <w:tcPr>
            <w:tcW w:type="dxa" w:w="3400"/>
            <w:tcMar>
              <w:top w:type="dxa" w:w="80"/>
              <w:left w:type="dxa" w:w="100"/>
              <w:bottom w:type="dxa" w:w="80"/>
              <w:right w:type="dxa" w:w="100"/>
            </w:tcMar>
          </w:tcPr>
          <w:p>
            <w:r>
              <w:rPr>
                <w:b w:val="false"/>
                <w:bCs w:val="false"/>
                <w:color w:val="000000"/>
                <w:sz w:val="20"/>
                <w:szCs w:val="20"/>
              </w:rPr>
              <w:t xml:space="preserve">Temps réel (tchat, cercles)</w:t>
            </w:r>
          </w:p>
        </w:tc>
        <w:tc>
          <w:tcPr>
            <w:tcW w:type="dxa" w:w="5600"/>
            <w:tcMar>
              <w:top w:type="dxa" w:w="80"/>
              <w:left w:type="dxa" w:w="100"/>
              <w:bottom w:type="dxa" w:w="80"/>
              <w:right w:type="dxa" w:w="100"/>
            </w:tcMar>
          </w:tcPr>
          <w:p>
            <w:r>
              <w:rPr>
                <w:b w:val="false"/>
                <w:bCs w:val="false"/>
                <w:color w:val="000000"/>
                <w:sz w:val="20"/>
                <w:szCs w:val="20"/>
              </w:rPr>
              <w:t xml:space="preserve">Django Channels</w:t>
            </w:r>
          </w:p>
        </w:tc>
      </w:tr>
      <w:tr>
        <w:tc>
          <w:tcPr>
            <w:tcW w:type="dxa" w:w="3400"/>
            <w:tcMar>
              <w:top w:type="dxa" w:w="80"/>
              <w:left w:type="dxa" w:w="100"/>
              <w:bottom w:type="dxa" w:w="80"/>
              <w:right w:type="dxa" w:w="100"/>
            </w:tcMar>
          </w:tcPr>
          <w:p>
            <w:r>
              <w:rPr>
                <w:b w:val="false"/>
                <w:bCs w:val="false"/>
                <w:color w:val="000000"/>
                <w:sz w:val="20"/>
                <w:szCs w:val="20"/>
              </w:rPr>
              <w:t xml:space="preserve">Base de données</w:t>
            </w:r>
          </w:p>
        </w:tc>
        <w:tc>
          <w:tcPr>
            <w:tcW w:type="dxa" w:w="5600"/>
            <w:tcMar>
              <w:top w:type="dxa" w:w="80"/>
              <w:left w:type="dxa" w:w="100"/>
              <w:bottom w:type="dxa" w:w="80"/>
              <w:right w:type="dxa" w:w="100"/>
            </w:tcMar>
          </w:tcPr>
          <w:p>
            <w:r>
              <w:rPr>
                <w:b w:val="false"/>
                <w:bCs w:val="false"/>
                <w:color w:val="000000"/>
                <w:sz w:val="20"/>
                <w:szCs w:val="20"/>
              </w:rPr>
              <w:t xml:space="preserve">PostgreSQL en environnement de production dès le départ (pas de base de test)</w:t>
            </w:r>
          </w:p>
        </w:tc>
      </w:tr>
      <w:tr>
        <w:tc>
          <w:tcPr>
            <w:tcW w:type="dxa" w:w="3400"/>
            <w:tcMar>
              <w:top w:type="dxa" w:w="80"/>
              <w:left w:type="dxa" w:w="100"/>
              <w:bottom w:type="dxa" w:w="80"/>
              <w:right w:type="dxa" w:w="100"/>
            </w:tcMar>
          </w:tcPr>
          <w:p>
            <w:r>
              <w:rPr>
                <w:b w:val="false"/>
                <w:bCs w:val="false"/>
                <w:color w:val="000000"/>
                <w:sz w:val="20"/>
                <w:szCs w:val="20"/>
              </w:rPr>
              <w:t xml:space="preserve">Module de supervision IA</w:t>
            </w:r>
          </w:p>
        </w:tc>
        <w:tc>
          <w:tcPr>
            <w:tcW w:type="dxa" w:w="5600"/>
            <w:tcMar>
              <w:top w:type="dxa" w:w="80"/>
              <w:left w:type="dxa" w:w="100"/>
              <w:bottom w:type="dxa" w:w="80"/>
              <w:right w:type="dxa" w:w="100"/>
            </w:tcMar>
          </w:tcPr>
          <w:p>
            <w:r>
              <w:rPr>
                <w:b w:val="false"/>
                <w:bCs w:val="false"/>
                <w:color w:val="000000"/>
                <w:sz w:val="20"/>
                <w:szCs w:val="20"/>
              </w:rPr>
              <w:t xml:space="preserve">Analyse par mots-clés dans un premier temps, évolutif vers du NLP</w:t>
            </w:r>
          </w:p>
        </w:tc>
      </w:tr>
      <w:tr>
        <w:tc>
          <w:tcPr>
            <w:tcW w:type="dxa" w:w="3400"/>
            <w:tcMar>
              <w:top w:type="dxa" w:w="80"/>
              <w:left w:type="dxa" w:w="100"/>
              <w:bottom w:type="dxa" w:w="80"/>
              <w:right w:type="dxa" w:w="100"/>
            </w:tcMar>
          </w:tcPr>
          <w:p>
            <w:r>
              <w:rPr>
                <w:b w:val="false"/>
                <w:bCs w:val="false"/>
                <w:color w:val="000000"/>
                <w:sz w:val="20"/>
                <w:szCs w:val="20"/>
              </w:rPr>
              <w:t xml:space="preserve">Authentification</w:t>
            </w:r>
          </w:p>
        </w:tc>
        <w:tc>
          <w:tcPr>
            <w:tcW w:type="dxa" w:w="5600"/>
            <w:tcMar>
              <w:top w:type="dxa" w:w="80"/>
              <w:left w:type="dxa" w:w="100"/>
              <w:bottom w:type="dxa" w:w="80"/>
              <w:right w:type="dxa" w:w="100"/>
            </w:tcMar>
          </w:tcPr>
          <w:p>
            <w:r>
              <w:rPr>
                <w:b w:val="false"/>
                <w:bCs w:val="false"/>
                <w:color w:val="000000"/>
                <w:sz w:val="20"/>
                <w:szCs w:val="20"/>
              </w:rPr>
              <w:t xml:space="preserve">Compte anonyme pour les ados (pseudo + mot de passe), compte validé pour écoutants/admin</w:t>
            </w:r>
          </w:p>
        </w:tc>
      </w:tr>
    </w:tbl>
    <w:p>
      <w:pPr>
        <w:pStyle w:val="Heading2"/>
        <w:spacing w:after="120" w:before="240"/>
      </w:pPr>
      <w:r>
        <w:rPr>
          <w:b/>
          <w:bCs/>
          <w:color w:val="1E1B4B"/>
        </w:rPr>
        <w:t xml:space="preserve">7.1 Modèles de données clés</w:t>
      </w:r>
    </w:p>
    <w:p>
      <w:pPr>
        <w:pStyle w:val="ListParagraph"/>
        <w:numPr>
          <w:ilvl w:val="0"/>
          <w:numId w:val="2"/>
        </w:numPr>
        <w:spacing w:after="80"/>
      </w:pPr>
      <w:r>
        <w:t xml:space="preserve">Utilisateur anonymisé (ado), Écoutant, Superviseur/Admin, Psychologue partenaire</w:t>
      </w:r>
    </w:p>
    <w:p>
      <w:pPr>
        <w:pStyle w:val="ListParagraph"/>
        <w:numPr>
          <w:ilvl w:val="0"/>
          <w:numId w:val="2"/>
        </w:numPr>
        <w:spacing w:after="80"/>
      </w:pPr>
      <w:r>
        <w:t xml:space="preserve">Journal (entrées texte, audio, photo), Conversation, Message</w:t>
      </w:r>
    </w:p>
    <w:p>
      <w:pPr>
        <w:pStyle w:val="ListParagraph"/>
        <w:numPr>
          <w:ilvl w:val="0"/>
          <w:numId w:val="2"/>
        </w:numPr>
        <w:spacing w:after="80"/>
      </w:pPr>
      <w:r>
        <w:t xml:space="preserve">Cercle d'écoute, Membre de cercle</w:t>
      </w:r>
    </w:p>
    <w:p>
      <w:pPr>
        <w:pStyle w:val="ListParagraph"/>
        <w:numPr>
          <w:ilvl w:val="0"/>
          <w:numId w:val="2"/>
        </w:numPr>
        <w:spacing w:after="80"/>
      </w:pPr>
      <w:r>
        <w:t xml:space="preserve">Alerte (source, gravité, statut, superviseur assigné)</w:t>
      </w:r>
    </w:p>
    <w:p>
      <w:pPr>
        <w:pStyle w:val="ListParagraph"/>
        <w:numPr>
          <w:ilvl w:val="0"/>
          <w:numId w:val="2"/>
        </w:numPr>
        <w:spacing w:after="80"/>
      </w:pPr>
      <w:r>
        <w:t xml:space="preserve">Ressource (psychologue, ONG, centre — par ville)</w:t>
      </w:r>
    </w:p>
    <w:p>
      <w:pPr>
        <w:pStyle w:val="Heading1"/>
        <w:spacing w:after="160" w:before="360"/>
      </w:pPr>
      <w:r>
        <w:rPr>
          <w:b/>
          <w:bCs/>
          <w:color w:val="1E1B4B"/>
        </w:rPr>
        <w:t xml:space="preserve">8. Parcours utilisateur</w:t>
      </w:r>
    </w:p>
    <w:p>
      <w:pPr>
        <w:spacing w:after="160" w:line="300"/>
      </w:pPr>
      <w:r>
        <w:rPr>
          <w:i w:val="false"/>
          <w:iCs w:val="false"/>
        </w:rPr>
        <w:t xml:space="preserve">Les trois parcours (adolescent, écoutant, admin) ont été détaillés en wireframes basse fidélité, couvrant la structure complète des écrans et la logique de navigation entre eux.</w:t>
      </w:r>
    </w:p>
    <w:p>
      <w:pPr>
        <w:pStyle w:val="Heading2"/>
        <w:spacing w:after="120" w:before="240"/>
      </w:pPr>
      <w:r>
        <w:rPr>
          <w:b/>
          <w:bCs/>
          <w:color w:val="1E1B4B"/>
        </w:rPr>
        <w:t xml:space="preserve">8.1 Parcours adolescent</w:t>
      </w:r>
    </w:p>
    <w:p>
      <w:pPr>
        <w:spacing w:after="160" w:line="300"/>
      </w:pPr>
      <w:r>
        <w:rPr>
          <w:i w:val="false"/>
          <w:iCs w:val="false"/>
        </w:rPr>
        <w:t xml:space="preserve">Ouverture → message d'accueil rassurant → inscription anonyme → accueil, avec quatre chemins possibles (journal, chat écoutant, cercles, annuaire) et un bouton SOS accessible en permanence. Le verrouillage par Face ID/mot de passe s'affiche à chaque réouverture.</w:t>
      </w:r>
    </w:p>
    <w:p>
      <w:pPr>
        <w:pStyle w:val="Heading2"/>
        <w:spacing w:after="120" w:before="240"/>
      </w:pPr>
      <w:r>
        <w:rPr>
          <w:b/>
          <w:bCs/>
          <w:color w:val="1E1B4B"/>
        </w:rPr>
        <w:t xml:space="preserve">8.2 Parcours écoutant</w:t>
      </w:r>
    </w:p>
    <w:p>
      <w:pPr>
        <w:spacing w:after="160" w:line="300"/>
      </w:pPr>
      <w:r>
        <w:rPr>
          <w:i w:val="false"/>
          <w:iCs w:val="false"/>
        </w:rPr>
        <w:t xml:space="preserve">Message d'accueil (« Merci de nous aider à aller mieux ») → connexion (compte déjà validé) → tableau de bord → conversations, cercles, planning et profil. L'escalade vers un superviseur est accessible depuis toute conversation en cours.</w:t>
      </w:r>
    </w:p>
    <w:p>
      <w:pPr>
        <w:pStyle w:val="Heading2"/>
        <w:spacing w:after="120" w:before="240"/>
      </w:pPr>
      <w:r>
        <w:rPr>
          <w:b/>
          <w:bCs/>
          <w:color w:val="1E1B4B"/>
        </w:rPr>
        <w:t xml:space="preserve">8.3 Parcours admin / superviseur</w:t>
      </w:r>
    </w:p>
    <w:p>
      <w:pPr>
        <w:spacing w:after="160" w:line="300"/>
      </w:pPr>
      <w:r>
        <w:rPr>
          <w:i w:val="false"/>
          <w:iCs w:val="false"/>
        </w:rPr>
        <w:t xml:space="preserve">Connexion restreinte → tableau de bord centralisant alertes urgentes et validations en attente → traitement des alertes (venant des écoutants ou du module IA) → validation des écoutants → gestion de l'annuaire de ressources.</w:t>
      </w:r>
    </w:p>
    <w:p>
      <w:pPr>
        <w:pStyle w:val="Heading1"/>
        <w:spacing w:after="160" w:before="360"/>
      </w:pPr>
      <w:r>
        <w:rPr>
          <w:b/>
          <w:bCs/>
          <w:color w:val="1E1B4B"/>
        </w:rPr>
        <w:t xml:space="preserve">9. Feuille de route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4800"/>
        <w:gridCol w:w="1600"/>
      </w:tblGrid>
      <w:tr>
        <w:tc>
          <w:tcPr>
            <w:tcW w:type="dxa" w:w="2600"/>
            <w:shd w:fill="1E1B4B" w:val="clear"/>
            <w:tcMar>
              <w:top w:type="dxa" w:w="80"/>
              <w:left w:type="dxa" w:w="100"/>
              <w:bottom w:type="dxa" w:w="80"/>
              <w:right w:type="dxa" w:w="100"/>
            </w:tcMar>
          </w:tcPr>
          <w:p>
            <w:r>
              <w:rPr>
                <w:b/>
                <w:bCs/>
                <w:color w:val="FFFFFF"/>
                <w:sz w:val="20"/>
                <w:szCs w:val="20"/>
              </w:rPr>
              <w:t xml:space="preserve">Phase</w:t>
            </w:r>
          </w:p>
        </w:tc>
        <w:tc>
          <w:tcPr>
            <w:tcW w:type="dxa" w:w="4800"/>
            <w:shd w:fill="1E1B4B" w:val="clear"/>
            <w:tcMar>
              <w:top w:type="dxa" w:w="80"/>
              <w:left w:type="dxa" w:w="100"/>
              <w:bottom w:type="dxa" w:w="80"/>
              <w:right w:type="dxa" w:w="100"/>
            </w:tcMar>
          </w:tcPr>
          <w:p>
            <w:r>
              <w:rPr>
                <w:b/>
                <w:bCs/>
                <w:color w:val="FFFFFF"/>
                <w:sz w:val="20"/>
                <w:szCs w:val="20"/>
              </w:rPr>
              <w:t xml:space="preserve">Contenu</w:t>
            </w:r>
          </w:p>
        </w:tc>
        <w:tc>
          <w:tcPr>
            <w:tcW w:type="dxa" w:w="1600"/>
            <w:shd w:fill="1E1B4B" w:val="clear"/>
            <w:tcMar>
              <w:top w:type="dxa" w:w="80"/>
              <w:left w:type="dxa" w:w="100"/>
              <w:bottom w:type="dxa" w:w="80"/>
              <w:right w:type="dxa" w:w="100"/>
            </w:tcMar>
          </w:tcPr>
          <w:p>
            <w:r>
              <w:rPr>
                <w:b/>
                <w:bCs/>
                <w:color w:val="FFFFFF"/>
                <w:sz w:val="20"/>
                <w:szCs w:val="20"/>
              </w:rPr>
              <w:t xml:space="preserve">Durée estimée</w:t>
            </w:r>
          </w:p>
        </w:tc>
      </w:tr>
      <w:tr>
        <w:tc>
          <w:tcPr>
            <w:tcW w:type="dxa" w:w="2600"/>
            <w:tcMar>
              <w:top w:type="dxa" w:w="80"/>
              <w:left w:type="dxa" w:w="100"/>
              <w:bottom w:type="dxa" w:w="80"/>
              <w:right w:type="dxa" w:w="100"/>
            </w:tcMar>
          </w:tcPr>
          <w:p>
            <w:r>
              <w:rPr>
                <w:b w:val="false"/>
                <w:bCs w:val="false"/>
                <w:color w:val="000000"/>
                <w:sz w:val="20"/>
                <w:szCs w:val="20"/>
              </w:rPr>
              <w:t xml:space="preserve">1. Cadrage</w:t>
            </w:r>
          </w:p>
        </w:tc>
        <w:tc>
          <w:tcPr>
            <w:tcW w:type="dxa" w:w="4800"/>
            <w:tcMar>
              <w:top w:type="dxa" w:w="80"/>
              <w:left w:type="dxa" w:w="100"/>
              <w:bottom w:type="dxa" w:w="80"/>
              <w:right w:type="dxa" w:w="100"/>
            </w:tcMar>
          </w:tcPr>
          <w:p>
            <w:r>
              <w:rPr>
                <w:b w:val="false"/>
                <w:bCs w:val="false"/>
                <w:color w:val="000000"/>
                <w:sz w:val="20"/>
                <w:szCs w:val="20"/>
              </w:rPr>
              <w:t xml:space="preserve">Nom, personas, cahier des charges, priorisation MVP</w:t>
            </w:r>
          </w:p>
        </w:tc>
        <w:tc>
          <w:tcPr>
            <w:tcW w:type="dxa" w:w="1600"/>
            <w:tcMar>
              <w:top w:type="dxa" w:w="80"/>
              <w:left w:type="dxa" w:w="100"/>
              <w:bottom w:type="dxa" w:w="80"/>
              <w:right w:type="dxa" w:w="100"/>
            </w:tcMar>
          </w:tcPr>
          <w:p>
            <w:r>
              <w:rPr>
                <w:b w:val="false"/>
                <w:bCs w:val="false"/>
                <w:color w:val="000000"/>
                <w:sz w:val="20"/>
                <w:szCs w:val="20"/>
              </w:rPr>
              <w:t xml:space="preserve">1–2 semaines</w:t>
            </w:r>
          </w:p>
        </w:tc>
      </w:tr>
      <w:tr>
        <w:tc>
          <w:tcPr>
            <w:tcW w:type="dxa" w:w="2600"/>
            <w:tcMar>
              <w:top w:type="dxa" w:w="80"/>
              <w:left w:type="dxa" w:w="100"/>
              <w:bottom w:type="dxa" w:w="80"/>
              <w:right w:type="dxa" w:w="100"/>
            </w:tcMar>
          </w:tcPr>
          <w:p>
            <w:r>
              <w:rPr>
                <w:b w:val="false"/>
                <w:bCs w:val="false"/>
                <w:color w:val="000000"/>
                <w:sz w:val="20"/>
                <w:szCs w:val="20"/>
              </w:rPr>
              <w:t xml:space="preserve">2. Design</w:t>
            </w:r>
          </w:p>
        </w:tc>
        <w:tc>
          <w:tcPr>
            <w:tcW w:type="dxa" w:w="4800"/>
            <w:tcMar>
              <w:top w:type="dxa" w:w="80"/>
              <w:left w:type="dxa" w:w="100"/>
              <w:bottom w:type="dxa" w:w="80"/>
              <w:right w:type="dxa" w:w="100"/>
            </w:tcMar>
          </w:tcPr>
          <w:p>
            <w:r>
              <w:rPr>
                <w:b w:val="false"/>
                <w:bCs w:val="false"/>
                <w:color w:val="000000"/>
                <w:sz w:val="20"/>
                <w:szCs w:val="20"/>
              </w:rPr>
              <w:t xml:space="preserve">Charte graphique, logo, maquettes haute fidélité</w:t>
            </w:r>
          </w:p>
        </w:tc>
        <w:tc>
          <w:tcPr>
            <w:tcW w:type="dxa" w:w="1600"/>
            <w:tcMar>
              <w:top w:type="dxa" w:w="80"/>
              <w:left w:type="dxa" w:w="100"/>
              <w:bottom w:type="dxa" w:w="80"/>
              <w:right w:type="dxa" w:w="100"/>
            </w:tcMar>
          </w:tcPr>
          <w:p>
            <w:r>
              <w:rPr>
                <w:b w:val="false"/>
                <w:bCs w:val="false"/>
                <w:color w:val="000000"/>
                <w:sz w:val="20"/>
                <w:szCs w:val="20"/>
              </w:rPr>
              <w:t xml:space="preserve">2–3 semaines</w:t>
            </w:r>
          </w:p>
        </w:tc>
      </w:tr>
      <w:tr>
        <w:tc>
          <w:tcPr>
            <w:tcW w:type="dxa" w:w="2600"/>
            <w:tcMar>
              <w:top w:type="dxa" w:w="80"/>
              <w:left w:type="dxa" w:w="100"/>
              <w:bottom w:type="dxa" w:w="80"/>
              <w:right w:type="dxa" w:w="100"/>
            </w:tcMar>
          </w:tcPr>
          <w:p>
            <w:r>
              <w:rPr>
                <w:b w:val="false"/>
                <w:bCs w:val="false"/>
                <w:color w:val="000000"/>
                <w:sz w:val="20"/>
                <w:szCs w:val="20"/>
              </w:rPr>
              <w:t xml:space="preserve">3. Backend</w:t>
            </w:r>
          </w:p>
        </w:tc>
        <w:tc>
          <w:tcPr>
            <w:tcW w:type="dxa" w:w="4800"/>
            <w:tcMar>
              <w:top w:type="dxa" w:w="80"/>
              <w:left w:type="dxa" w:w="100"/>
              <w:bottom w:type="dxa" w:w="80"/>
              <w:right w:type="dxa" w:w="100"/>
            </w:tcMar>
          </w:tcPr>
          <w:p>
            <w:r>
              <w:rPr>
                <w:b w:val="false"/>
                <w:bCs w:val="false"/>
                <w:color w:val="000000"/>
                <w:sz w:val="20"/>
                <w:szCs w:val="20"/>
              </w:rPr>
              <w:t xml:space="preserve">Django + DRF + PostgreSQL, API temps réel, module d'alerte</w:t>
            </w:r>
          </w:p>
        </w:tc>
        <w:tc>
          <w:tcPr>
            <w:tcW w:type="dxa" w:w="1600"/>
            <w:tcMar>
              <w:top w:type="dxa" w:w="80"/>
              <w:left w:type="dxa" w:w="100"/>
              <w:bottom w:type="dxa" w:w="80"/>
              <w:right w:type="dxa" w:w="100"/>
            </w:tcMar>
          </w:tcPr>
          <w:p>
            <w:r>
              <w:rPr>
                <w:b w:val="false"/>
                <w:bCs w:val="false"/>
                <w:color w:val="000000"/>
                <w:sz w:val="20"/>
                <w:szCs w:val="20"/>
              </w:rPr>
              <w:t xml:space="preserve">3–4 semaines</w:t>
            </w:r>
          </w:p>
        </w:tc>
      </w:tr>
      <w:tr>
        <w:tc>
          <w:tcPr>
            <w:tcW w:type="dxa" w:w="2600"/>
            <w:tcMar>
              <w:top w:type="dxa" w:w="80"/>
              <w:left w:type="dxa" w:w="100"/>
              <w:bottom w:type="dxa" w:w="80"/>
              <w:right w:type="dxa" w:w="100"/>
            </w:tcMar>
          </w:tcPr>
          <w:p>
            <w:r>
              <w:rPr>
                <w:b w:val="false"/>
                <w:bCs w:val="false"/>
                <w:color w:val="000000"/>
                <w:sz w:val="20"/>
                <w:szCs w:val="20"/>
              </w:rPr>
              <w:t xml:space="preserve">4. Applications</w:t>
            </w:r>
          </w:p>
        </w:tc>
        <w:tc>
          <w:tcPr>
            <w:tcW w:type="dxa" w:w="4800"/>
            <w:tcMar>
              <w:top w:type="dxa" w:w="80"/>
              <w:left w:type="dxa" w:w="100"/>
              <w:bottom w:type="dxa" w:w="80"/>
              <w:right w:type="dxa" w:w="100"/>
            </w:tcMar>
          </w:tcPr>
          <w:p>
            <w:r>
              <w:rPr>
                <w:b w:val="false"/>
                <w:bCs w:val="false"/>
                <w:color w:val="000000"/>
                <w:sz w:val="20"/>
                <w:szCs w:val="20"/>
              </w:rPr>
              <w:t xml:space="preserve">Développement Flutter (mobile et web)</w:t>
            </w:r>
          </w:p>
        </w:tc>
        <w:tc>
          <w:tcPr>
            <w:tcW w:type="dxa" w:w="1600"/>
            <w:tcMar>
              <w:top w:type="dxa" w:w="80"/>
              <w:left w:type="dxa" w:w="100"/>
              <w:bottom w:type="dxa" w:w="80"/>
              <w:right w:type="dxa" w:w="100"/>
            </w:tcMar>
          </w:tcPr>
          <w:p>
            <w:r>
              <w:rPr>
                <w:b w:val="false"/>
                <w:bCs w:val="false"/>
                <w:color w:val="000000"/>
                <w:sz w:val="20"/>
                <w:szCs w:val="20"/>
              </w:rPr>
              <w:t xml:space="preserve">4–6 semaines</w:t>
            </w:r>
          </w:p>
        </w:tc>
      </w:tr>
      <w:tr>
        <w:tc>
          <w:tcPr>
            <w:tcW w:type="dxa" w:w="2600"/>
            <w:tcMar>
              <w:top w:type="dxa" w:w="80"/>
              <w:left w:type="dxa" w:w="100"/>
              <w:bottom w:type="dxa" w:w="80"/>
              <w:right w:type="dxa" w:w="100"/>
            </w:tcMar>
          </w:tcPr>
          <w:p>
            <w:r>
              <w:rPr>
                <w:b w:val="false"/>
                <w:bCs w:val="false"/>
                <w:color w:val="000000"/>
                <w:sz w:val="20"/>
                <w:szCs w:val="20"/>
              </w:rPr>
              <w:t xml:space="preserve">5. Recrutement écoutants</w:t>
            </w:r>
          </w:p>
        </w:tc>
        <w:tc>
          <w:tcPr>
            <w:tcW w:type="dxa" w:w="4800"/>
            <w:tcMar>
              <w:top w:type="dxa" w:w="80"/>
              <w:left w:type="dxa" w:w="100"/>
              <w:bottom w:type="dxa" w:w="80"/>
              <w:right w:type="dxa" w:w="100"/>
            </w:tcMar>
          </w:tcPr>
          <w:p>
            <w:r>
              <w:rPr>
                <w:b w:val="false"/>
                <w:bCs w:val="false"/>
                <w:color w:val="000000"/>
                <w:sz w:val="20"/>
                <w:szCs w:val="20"/>
              </w:rPr>
              <w:t xml:space="preserve">Partenariat institutionnel, formation, validation</w:t>
            </w:r>
          </w:p>
        </w:tc>
        <w:tc>
          <w:tcPr>
            <w:tcW w:type="dxa" w:w="1600"/>
            <w:tcMar>
              <w:top w:type="dxa" w:w="80"/>
              <w:left w:type="dxa" w:w="100"/>
              <w:bottom w:type="dxa" w:w="80"/>
              <w:right w:type="dxa" w:w="100"/>
            </w:tcMar>
          </w:tcPr>
          <w:p>
            <w:r>
              <w:rPr>
                <w:b w:val="false"/>
                <w:bCs w:val="false"/>
                <w:color w:val="000000"/>
                <w:sz w:val="20"/>
                <w:szCs w:val="20"/>
              </w:rPr>
              <w:t xml:space="preserve">En parallèle des phases 3–4</w:t>
            </w:r>
          </w:p>
        </w:tc>
      </w:tr>
      <w:tr>
        <w:tc>
          <w:tcPr>
            <w:tcW w:type="dxa" w:w="2600"/>
            <w:tcMar>
              <w:top w:type="dxa" w:w="80"/>
              <w:left w:type="dxa" w:w="100"/>
              <w:bottom w:type="dxa" w:w="80"/>
              <w:right w:type="dxa" w:w="100"/>
            </w:tcMar>
          </w:tcPr>
          <w:p>
            <w:r>
              <w:rPr>
                <w:b w:val="false"/>
                <w:bCs w:val="false"/>
                <w:color w:val="000000"/>
                <w:sz w:val="20"/>
                <w:szCs w:val="20"/>
              </w:rPr>
              <w:t xml:space="preserve">6. Tests et déploiement</w:t>
            </w:r>
          </w:p>
        </w:tc>
        <w:tc>
          <w:tcPr>
            <w:tcW w:type="dxa" w:w="4800"/>
            <w:tcMar>
              <w:top w:type="dxa" w:w="80"/>
              <w:left w:type="dxa" w:w="100"/>
              <w:bottom w:type="dxa" w:w="80"/>
              <w:right w:type="dxa" w:w="100"/>
            </w:tcMar>
          </w:tcPr>
          <w:p>
            <w:r>
              <w:rPr>
                <w:b w:val="false"/>
                <w:bCs w:val="false"/>
                <w:color w:val="000000"/>
                <w:sz w:val="20"/>
                <w:szCs w:val="20"/>
              </w:rPr>
              <w:t xml:space="preserve">Groupe pilote, ajustements, mise en production</w:t>
            </w:r>
          </w:p>
        </w:tc>
        <w:tc>
          <w:tcPr>
            <w:tcW w:type="dxa" w:w="1600"/>
            <w:tcMar>
              <w:top w:type="dxa" w:w="80"/>
              <w:left w:type="dxa" w:w="100"/>
              <w:bottom w:type="dxa" w:w="80"/>
              <w:right w:type="dxa" w:w="100"/>
            </w:tcMar>
          </w:tcPr>
          <w:p>
            <w:r>
              <w:rPr>
                <w:b w:val="false"/>
                <w:bCs w:val="false"/>
                <w:color w:val="000000"/>
                <w:sz w:val="20"/>
                <w:szCs w:val="20"/>
              </w:rPr>
              <w:t xml:space="preserve">2–3 semaines</w:t>
            </w:r>
          </w:p>
        </w:tc>
      </w:tr>
    </w:tbl>
    <w:p>
      <w:pPr>
        <w:pStyle w:val="Heading1"/>
        <w:spacing w:after="160" w:before="360"/>
      </w:pPr>
      <w:r>
        <w:rPr>
          <w:b/>
          <w:bCs/>
          <w:color w:val="1E1B4B"/>
        </w:rPr>
        <w:t xml:space="preserve">10. Budget estimatif</w:t>
      </w:r>
    </w:p>
    <w:p>
      <w:pPr>
        <w:spacing w:after="160" w:line="300"/>
      </w:pPr>
      <w:r>
        <w:rPr>
          <w:i/>
          <w:iCs/>
        </w:rPr>
        <w:t xml:space="preserve">Cette estimation couvre un scénario de lancement en contexte de projet étudiant / association naissante. Les montants réels dépendront des partenariats obtenus (hébergement, formation, bénévolat) et doivent être affinés avec des devis locaux avant tout engagement.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200"/>
      </w:tblGrid>
      <w:tr>
        <w:tc>
          <w:tcPr>
            <w:tcW w:type="dxa" w:w="2600"/>
            <w:shd w:fill="1E1B4B" w:val="clear"/>
            <w:tcMar>
              <w:top w:type="dxa" w:w="80"/>
              <w:left w:type="dxa" w:w="100"/>
              <w:bottom w:type="dxa" w:w="80"/>
              <w:right w:type="dxa" w:w="100"/>
            </w:tcMar>
          </w:tcPr>
          <w:p>
            <w:r>
              <w:rPr>
                <w:b/>
                <w:bCs/>
                <w:color w:val="FFFFFF"/>
                <w:sz w:val="20"/>
                <w:szCs w:val="20"/>
              </w:rPr>
              <w:t xml:space="preserve">Poste</w:t>
            </w:r>
          </w:p>
        </w:tc>
        <w:tc>
          <w:tcPr>
            <w:tcW w:type="dxa" w:w="4400"/>
            <w:shd w:fill="1E1B4B" w:val="clear"/>
            <w:tcMar>
              <w:top w:type="dxa" w:w="80"/>
              <w:left w:type="dxa" w:w="100"/>
              <w:bottom w:type="dxa" w:w="80"/>
              <w:right w:type="dxa" w:w="100"/>
            </w:tcMar>
          </w:tcPr>
          <w:p>
            <w:r>
              <w:rPr>
                <w:b/>
                <w:bCs/>
                <w:color w:val="FFFFFF"/>
                <w:sz w:val="20"/>
                <w:szCs w:val="20"/>
              </w:rPr>
              <w:t xml:space="preserve">Ce qu'il couvre</w:t>
            </w:r>
          </w:p>
        </w:tc>
        <w:tc>
          <w:tcPr>
            <w:tcW w:type="dxa" w:w="2200"/>
            <w:shd w:fill="1E1B4B" w:val="clear"/>
            <w:tcMar>
              <w:top w:type="dxa" w:w="80"/>
              <w:left w:type="dxa" w:w="100"/>
              <w:bottom w:type="dxa" w:w="80"/>
              <w:right w:type="dxa" w:w="100"/>
            </w:tcMar>
          </w:tcPr>
          <w:p>
            <w:r>
              <w:rPr>
                <w:b/>
                <w:bCs/>
                <w:color w:val="FFFFFF"/>
                <w:sz w:val="20"/>
                <w:szCs w:val="20"/>
              </w:rPr>
              <w:t xml:space="preserve">Ordre de grandeur</w:t>
            </w:r>
          </w:p>
        </w:tc>
      </w:tr>
      <w:tr>
        <w:tc>
          <w:tcPr>
            <w:tcW w:type="dxa" w:w="2600"/>
            <w:tcMar>
              <w:top w:type="dxa" w:w="80"/>
              <w:left w:type="dxa" w:w="100"/>
              <w:bottom w:type="dxa" w:w="80"/>
              <w:right w:type="dxa" w:w="100"/>
            </w:tcMar>
          </w:tcPr>
          <w:p>
            <w:r>
              <w:rPr>
                <w:b w:val="false"/>
                <w:bCs w:val="false"/>
                <w:color w:val="000000"/>
                <w:sz w:val="20"/>
                <w:szCs w:val="20"/>
              </w:rPr>
              <w:t xml:space="preserve">Développement</w:t>
            </w:r>
          </w:p>
        </w:tc>
        <w:tc>
          <w:tcPr>
            <w:tcW w:type="dxa" w:w="4400"/>
            <w:tcMar>
              <w:top w:type="dxa" w:w="80"/>
              <w:left w:type="dxa" w:w="100"/>
              <w:bottom w:type="dxa" w:w="80"/>
              <w:right w:type="dxa" w:w="100"/>
            </w:tcMar>
          </w:tcPr>
          <w:p>
            <w:r>
              <w:rPr>
                <w:b w:val="false"/>
                <w:bCs w:val="false"/>
                <w:color w:val="000000"/>
                <w:sz w:val="20"/>
                <w:szCs w:val="20"/>
              </w:rPr>
              <w:t xml:space="preserve">Temps de conception et de code (mobile, web, backend)</w:t>
            </w:r>
          </w:p>
        </w:tc>
        <w:tc>
          <w:tcPr>
            <w:tcW w:type="dxa" w:w="2200"/>
            <w:tcMar>
              <w:top w:type="dxa" w:w="80"/>
              <w:left w:type="dxa" w:w="100"/>
              <w:bottom w:type="dxa" w:w="80"/>
              <w:right w:type="dxa" w:w="100"/>
            </w:tcMar>
          </w:tcPr>
          <w:p>
            <w:r>
              <w:rPr>
                <w:b w:val="false"/>
                <w:bCs w:val="false"/>
                <w:color w:val="000000"/>
                <w:sz w:val="20"/>
                <w:szCs w:val="20"/>
              </w:rPr>
              <w:t xml:space="preserve">Variable selon bénévolat / stage / prestataire</w:t>
            </w:r>
          </w:p>
        </w:tc>
      </w:tr>
      <w:tr>
        <w:tc>
          <w:tcPr>
            <w:tcW w:type="dxa" w:w="2600"/>
            <w:tcMar>
              <w:top w:type="dxa" w:w="80"/>
              <w:left w:type="dxa" w:w="100"/>
              <w:bottom w:type="dxa" w:w="80"/>
              <w:right w:type="dxa" w:w="100"/>
            </w:tcMar>
          </w:tcPr>
          <w:p>
            <w:r>
              <w:rPr>
                <w:b w:val="false"/>
                <w:bCs w:val="false"/>
                <w:color w:val="000000"/>
                <w:sz w:val="20"/>
                <w:szCs w:val="20"/>
              </w:rPr>
              <w:t xml:space="preserve">Hébergement et infrastructure</w:t>
            </w:r>
          </w:p>
        </w:tc>
        <w:tc>
          <w:tcPr>
            <w:tcW w:type="dxa" w:w="4400"/>
            <w:tcMar>
              <w:top w:type="dxa" w:w="80"/>
              <w:left w:type="dxa" w:w="100"/>
              <w:bottom w:type="dxa" w:w="80"/>
              <w:right w:type="dxa" w:w="100"/>
            </w:tcMar>
          </w:tcPr>
          <w:p>
            <w:r>
              <w:rPr>
                <w:b w:val="false"/>
                <w:bCs w:val="false"/>
                <w:color w:val="000000"/>
                <w:sz w:val="20"/>
                <w:szCs w:val="20"/>
              </w:rPr>
              <w:t xml:space="preserve">Serveur, base de données de production, nom de domaine</w:t>
            </w:r>
          </w:p>
        </w:tc>
        <w:tc>
          <w:tcPr>
            <w:tcW w:type="dxa" w:w="2200"/>
            <w:tcMar>
              <w:top w:type="dxa" w:w="80"/>
              <w:left w:type="dxa" w:w="100"/>
              <w:bottom w:type="dxa" w:w="80"/>
              <w:right w:type="dxa" w:w="100"/>
            </w:tcMar>
          </w:tcPr>
          <w:p>
            <w:r>
              <w:rPr>
                <w:b w:val="false"/>
                <w:bCs w:val="false"/>
                <w:color w:val="000000"/>
                <w:sz w:val="20"/>
                <w:szCs w:val="20"/>
              </w:rPr>
              <w:t xml:space="preserve">Coût mensuel récurrent, modeste au démarrage</w:t>
            </w:r>
          </w:p>
        </w:tc>
      </w:tr>
      <w:tr>
        <w:tc>
          <w:tcPr>
            <w:tcW w:type="dxa" w:w="2600"/>
            <w:tcMar>
              <w:top w:type="dxa" w:w="80"/>
              <w:left w:type="dxa" w:w="100"/>
              <w:bottom w:type="dxa" w:w="80"/>
              <w:right w:type="dxa" w:w="100"/>
            </w:tcMar>
          </w:tcPr>
          <w:p>
            <w:r>
              <w:rPr>
                <w:b w:val="false"/>
                <w:bCs w:val="false"/>
                <w:color w:val="000000"/>
                <w:sz w:val="20"/>
                <w:szCs w:val="20"/>
              </w:rPr>
              <w:t xml:space="preserve">Design et identité de marque</w:t>
            </w:r>
          </w:p>
        </w:tc>
        <w:tc>
          <w:tcPr>
            <w:tcW w:type="dxa" w:w="4400"/>
            <w:tcMar>
              <w:top w:type="dxa" w:w="80"/>
              <w:left w:type="dxa" w:w="100"/>
              <w:bottom w:type="dxa" w:w="80"/>
              <w:right w:type="dxa" w:w="100"/>
            </w:tcMar>
          </w:tcPr>
          <w:p>
            <w:r>
              <w:rPr>
                <w:b w:val="false"/>
                <w:bCs w:val="false"/>
                <w:color w:val="000000"/>
                <w:sz w:val="20"/>
                <w:szCs w:val="20"/>
              </w:rPr>
              <w:t xml:space="preserve">Logo définitif, charte graphique complète</w:t>
            </w:r>
          </w:p>
        </w:tc>
        <w:tc>
          <w:tcPr>
            <w:tcW w:type="dxa" w:w="2200"/>
            <w:tcMar>
              <w:top w:type="dxa" w:w="80"/>
              <w:left w:type="dxa" w:w="100"/>
              <w:bottom w:type="dxa" w:w="80"/>
              <w:right w:type="dxa" w:w="100"/>
            </w:tcMar>
          </w:tcPr>
          <w:p>
            <w:r>
              <w:rPr>
                <w:b w:val="false"/>
                <w:bCs w:val="false"/>
                <w:color w:val="000000"/>
                <w:sz w:val="20"/>
                <w:szCs w:val="20"/>
              </w:rPr>
              <w:t xml:space="preserve">Ponctuel</w:t>
            </w:r>
          </w:p>
        </w:tc>
      </w:tr>
      <w:tr>
        <w:tc>
          <w:tcPr>
            <w:tcW w:type="dxa" w:w="2600"/>
            <w:tcMar>
              <w:top w:type="dxa" w:w="80"/>
              <w:left w:type="dxa" w:w="100"/>
              <w:bottom w:type="dxa" w:w="80"/>
              <w:right w:type="dxa" w:w="100"/>
            </w:tcMar>
          </w:tcPr>
          <w:p>
            <w:r>
              <w:rPr>
                <w:b w:val="false"/>
                <w:bCs w:val="false"/>
                <w:color w:val="000000"/>
                <w:sz w:val="20"/>
                <w:szCs w:val="20"/>
              </w:rPr>
              <w:t xml:space="preserve">Formation des écoutants</w:t>
            </w:r>
          </w:p>
        </w:tc>
        <w:tc>
          <w:tcPr>
            <w:tcW w:type="dxa" w:w="4400"/>
            <w:tcMar>
              <w:top w:type="dxa" w:w="80"/>
              <w:left w:type="dxa" w:w="100"/>
              <w:bottom w:type="dxa" w:w="80"/>
              <w:right w:type="dxa" w:w="100"/>
            </w:tcMar>
          </w:tcPr>
          <w:p>
            <w:r>
              <w:rPr>
                <w:b w:val="false"/>
                <w:bCs w:val="false"/>
                <w:color w:val="000000"/>
                <w:sz w:val="20"/>
                <w:szCs w:val="20"/>
              </w:rPr>
              <w:t xml:space="preserve">Support pédagogique, supervision initiale</w:t>
            </w:r>
          </w:p>
        </w:tc>
        <w:tc>
          <w:tcPr>
            <w:tcW w:type="dxa" w:w="2200"/>
            <w:tcMar>
              <w:top w:type="dxa" w:w="80"/>
              <w:left w:type="dxa" w:w="100"/>
              <w:bottom w:type="dxa" w:w="80"/>
              <w:right w:type="dxa" w:w="100"/>
            </w:tcMar>
          </w:tcPr>
          <w:p>
            <w:r>
              <w:rPr>
                <w:b w:val="false"/>
                <w:bCs w:val="false"/>
                <w:color w:val="000000"/>
                <w:sz w:val="20"/>
                <w:szCs w:val="20"/>
              </w:rPr>
              <w:t xml:space="preserve">Ponctuel, réductible via partenariat institutionnel</w:t>
            </w:r>
          </w:p>
        </w:tc>
      </w:tr>
      <w:tr>
        <w:tc>
          <w:tcPr>
            <w:tcW w:type="dxa" w:w="2600"/>
            <w:tcMar>
              <w:top w:type="dxa" w:w="80"/>
              <w:left w:type="dxa" w:w="100"/>
              <w:bottom w:type="dxa" w:w="80"/>
              <w:right w:type="dxa" w:w="100"/>
            </w:tcMar>
          </w:tcPr>
          <w:p>
            <w:r>
              <w:rPr>
                <w:b w:val="false"/>
                <w:bCs w:val="false"/>
                <w:color w:val="000000"/>
                <w:sz w:val="20"/>
                <w:szCs w:val="20"/>
              </w:rPr>
              <w:t xml:space="preserve">Communication et lancement</w:t>
            </w:r>
          </w:p>
        </w:tc>
        <w:tc>
          <w:tcPr>
            <w:tcW w:type="dxa" w:w="4400"/>
            <w:tcMar>
              <w:top w:type="dxa" w:w="80"/>
              <w:left w:type="dxa" w:w="100"/>
              <w:bottom w:type="dxa" w:w="80"/>
              <w:right w:type="dxa" w:w="100"/>
            </w:tcMar>
          </w:tcPr>
          <w:p>
            <w:r>
              <w:rPr>
                <w:b w:val="false"/>
                <w:bCs w:val="false"/>
                <w:color w:val="000000"/>
                <w:sz w:val="20"/>
                <w:szCs w:val="20"/>
              </w:rPr>
              <w:t xml:space="preserve">Support de présentation, réseaux sociaux</w:t>
            </w:r>
          </w:p>
        </w:tc>
        <w:tc>
          <w:tcPr>
            <w:tcW w:type="dxa" w:w="2200"/>
            <w:tcMar>
              <w:top w:type="dxa" w:w="80"/>
              <w:left w:type="dxa" w:w="100"/>
              <w:bottom w:type="dxa" w:w="80"/>
              <w:right w:type="dxa" w:w="100"/>
            </w:tcMar>
          </w:tcPr>
          <w:p>
            <w:r>
              <w:rPr>
                <w:b w:val="false"/>
                <w:bCs w:val="false"/>
                <w:color w:val="000000"/>
                <w:sz w:val="20"/>
                <w:szCs w:val="20"/>
              </w:rPr>
              <w:t xml:space="preserve">Modeste</w:t>
            </w:r>
          </w:p>
        </w:tc>
      </w:tr>
    </w:tbl>
    <w:p>
      <w:pPr>
        <w:spacing w:after="200" w:before="60"/>
      </w:pPr>
      <w:r>
        <w:rPr>
          <w:i/>
          <w:iCs/>
          <w:color w:val="555555"/>
          <w:sz w:val="18"/>
          <w:szCs w:val="18"/>
        </w:rPr>
        <w:t xml:space="preserve">Un chiffrage précis nécessite un arbitrage sur l'hébergeur, le niveau de bénévolat mobilisé, et les partenariats institutionnels obtenus — non déterminés à ce stade.</w:t>
      </w:r>
    </w:p>
    <w:p>
      <w:pPr>
        <w:pStyle w:val="Heading1"/>
        <w:spacing w:after="160" w:before="360"/>
      </w:pPr>
      <w:r>
        <w:rPr>
          <w:b/>
          <w:bCs/>
          <w:color w:val="1E1B4B"/>
        </w:rPr>
        <w:t xml:space="preserve">11. Impact attendu</w:t>
      </w:r>
    </w:p>
    <w:p>
      <w:pPr>
        <w:pStyle w:val="ListParagraph"/>
        <w:numPr>
          <w:ilvl w:val="0"/>
          <w:numId w:val="2"/>
        </w:numPr>
        <w:spacing w:after="80"/>
      </w:pPr>
      <w:r>
        <w:t xml:space="preserve">Réduction du sentiment d'isolement chez les adolescents en détresse, par l'accès à une écoute immédiate et humaine.</w:t>
      </w:r>
    </w:p>
    <w:p>
      <w:pPr>
        <w:pStyle w:val="ListParagraph"/>
        <w:numPr>
          <w:ilvl w:val="0"/>
          <w:numId w:val="2"/>
        </w:numPr>
        <w:spacing w:after="80"/>
      </w:pPr>
      <w:r>
        <w:t xml:space="preserve">Détection plus précoce des situations à risque, avant qu'elles n'atteignent un stade critique.</w:t>
      </w:r>
    </w:p>
    <w:p>
      <w:pPr>
        <w:pStyle w:val="ListParagraph"/>
        <w:numPr>
          <w:ilvl w:val="0"/>
          <w:numId w:val="2"/>
        </w:numPr>
        <w:spacing w:after="80"/>
      </w:pPr>
      <w:r>
        <w:t xml:space="preserve">Renforcement du lien entre les jeunes et les ressources de santé mentale existantes, aujourd'hui sous-utilisées faute de visibilité.</w:t>
      </w:r>
    </w:p>
    <w:p>
      <w:pPr>
        <w:pStyle w:val="ListParagraph"/>
        <w:numPr>
          <w:ilvl w:val="0"/>
          <w:numId w:val="2"/>
        </w:numPr>
        <w:spacing w:after="80"/>
      </w:pPr>
      <w:r>
        <w:t xml:space="preserve">Création d'un vivier d'écoutants formés, bénéfique au-delà même de la plateforme.</w:t>
      </w:r>
    </w:p>
    <w:p>
      <w:pPr>
        <w:pStyle w:val="Heading1"/>
        <w:spacing w:after="160" w:before="360"/>
      </w:pPr>
      <w:r>
        <w:rPr>
          <w:b/>
          <w:bCs/>
          <w:color w:val="1E1B4B"/>
        </w:rPr>
        <w:t xml:space="preserve">12. Conclusion</w:t>
      </w:r>
    </w:p>
    <w:p>
      <w:pPr>
        <w:spacing w:after="160" w:line="300"/>
      </w:pPr>
      <w:r>
        <w:rPr>
          <w:i w:val="false"/>
          <w:iCs w:val="false"/>
        </w:rPr>
        <w:t xml:space="preserve">Ce projet répond à un besoin réel et documenté : des adolescents camerounais souffrent en silence, faute d'espace pour être entendus. En misant sur l'écoute humaine plutôt que sur l'automatisation, et sur un encadrement éthique strict à chaque étape, l'application vise à combler ce vide sans jamais compromettre la sécurité de ses utilisateurs mineurs. Les fondations — problématique, fonctionnalités, architecture, éthique et parcours — sont posées ; la suite du travail porte sur l'exécution : design visuel définitif, développement, et constitution du réseau d'écoutants et de partenaires.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2026-07-14T14:51:59.458Z</dcterms:created>
  <dcterms:modified xsi:type="dcterms:W3CDTF">2026-07-14T14:51:59.459Z</dcterms:modified>
</cp:coreProperties>
</file>

<file path=docProps/custom.xml><?xml version="1.0" encoding="utf-8"?>
<Properties xmlns="http://schemas.openxmlformats.org/officeDocument/2006/custom-properties" xmlns:vt="http://schemas.openxmlformats.org/officeDocument/2006/docPropsVTypes"/>
</file>