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8A8E8" w14:textId="77777777" w:rsidR="00AB649B" w:rsidRPr="00F34ACC" w:rsidRDefault="00AB649B" w:rsidP="00AB649B">
      <w:pPr>
        <w:tabs>
          <w:tab w:val="left" w:pos="5640"/>
        </w:tabs>
        <w:spacing w:line="480" w:lineRule="auto"/>
        <w:rPr>
          <w:b/>
          <w:u w:val="single"/>
        </w:rPr>
      </w:pPr>
      <w:r w:rsidRPr="00F34ACC">
        <w:rPr>
          <w:b/>
          <w:u w:val="single"/>
        </w:rPr>
        <w:t>Additional information on the demographic component of the mathematical model</w:t>
      </w:r>
    </w:p>
    <w:p w14:paraId="22348D8C"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t xml:space="preserve">As explained in the main article, the demographic parameters were dependent on the day of the year (day 1 = 1 January) and the age of an individual (in days). They were optimized in order to simulate realistic population density fluctuations and age distributions, while being also biologically realistic. The population densities were compared to the longitudinal field data of the CMR experiment. The age distributions were compared to the field data of Leirs (1994), who measured the eye lens weight of </w:t>
      </w:r>
      <w:r w:rsidRPr="00292F2B">
        <w:rPr>
          <w:rStyle w:val="Emphasis"/>
          <w:bCs/>
          <w:shd w:val="clear" w:color="auto" w:fill="FFFFFF"/>
        </w:rPr>
        <w:t xml:space="preserve">M. </w:t>
      </w:r>
      <w:proofErr w:type="spellStart"/>
      <w:r w:rsidRPr="00292F2B">
        <w:rPr>
          <w:rStyle w:val="Emphasis"/>
          <w:bCs/>
          <w:shd w:val="clear" w:color="auto" w:fill="FFFFFF"/>
        </w:rPr>
        <w:t>natalensis</w:t>
      </w:r>
      <w:proofErr w:type="spellEnd"/>
      <w:r w:rsidRPr="002904F3">
        <w:rPr>
          <w:rStyle w:val="Emphasis"/>
          <w:bCs/>
          <w:i w:val="0"/>
          <w:shd w:val="clear" w:color="auto" w:fill="FFFFFF"/>
        </w:rPr>
        <w:t xml:space="preserve"> throughout the year as a proxy of the animals’ age (Fig S1).</w:t>
      </w:r>
    </w:p>
    <w:p w14:paraId="5526EF5A" w14:textId="77777777" w:rsidR="00AB649B" w:rsidRPr="002904F3" w:rsidRDefault="00AB649B" w:rsidP="00AB649B">
      <w:pPr>
        <w:pStyle w:val="NormalBB"/>
        <w:spacing w:line="480" w:lineRule="auto"/>
      </w:pPr>
      <w:r w:rsidRPr="002904F3">
        <w:t>Individuals live for an exponentially distributed amount of time depending on the mortality</w:t>
      </w:r>
      <w:r w:rsidRPr="002904F3">
        <w:rPr>
          <w:rStyle w:val="Emphasis"/>
          <w:i w:val="0"/>
        </w:rPr>
        <w:t xml:space="preserve"> parameter</w:t>
      </w:r>
      <w:r w:rsidRPr="002904F3">
        <w:t xml:space="preserve"> (μ)</w:t>
      </w:r>
      <w:r w:rsidRPr="002904F3">
        <w:rPr>
          <w:rStyle w:val="Emphasis"/>
          <w:i w:val="0"/>
        </w:rPr>
        <w:t xml:space="preserve">, which was </w:t>
      </w:r>
      <w:r w:rsidRPr="002904F3">
        <w:t>modelled by the following equations:</w:t>
      </w:r>
    </w:p>
    <w:p w14:paraId="51B93213" w14:textId="77777777" w:rsidR="00AB649B" w:rsidRPr="002904F3" w:rsidRDefault="00AB649B" w:rsidP="00AB649B">
      <w:pPr>
        <w:pStyle w:val="NormalBB"/>
        <w:spacing w:line="480" w:lineRule="auto"/>
        <w:rPr>
          <w:rStyle w:val="Emphasis"/>
          <w:i w:val="0"/>
          <w:vertAlign w:val="superscript"/>
        </w:rPr>
      </w:pPr>
      <w:r w:rsidRPr="002904F3">
        <w:rPr>
          <w:rStyle w:val="Emphasis"/>
          <w:i w:val="0"/>
        </w:rPr>
        <w:t>μ (day &lt; 15 &amp; age &lt; 366) = 0.004 lifespan</w:t>
      </w:r>
      <w:r w:rsidRPr="002904F3">
        <w:rPr>
          <w:rStyle w:val="Emphasis"/>
          <w:i w:val="0"/>
          <w:vertAlign w:val="superscript"/>
        </w:rPr>
        <w:t>-1</w:t>
      </w:r>
    </w:p>
    <w:p w14:paraId="48C2EFB3" w14:textId="77777777" w:rsidR="00AB649B" w:rsidRPr="002904F3" w:rsidRDefault="00AB649B" w:rsidP="00AB649B">
      <w:pPr>
        <w:pStyle w:val="NormalBB"/>
        <w:spacing w:line="480" w:lineRule="auto"/>
        <w:rPr>
          <w:rStyle w:val="Emphasis"/>
          <w:i w:val="0"/>
        </w:rPr>
      </w:pPr>
      <w:r w:rsidRPr="002904F3">
        <w:rPr>
          <w:rStyle w:val="Emphasis"/>
          <w:i w:val="0"/>
        </w:rPr>
        <w:t>μ (14 &lt; day &lt; 74 &amp; age &lt; 366) = 0.013 lifespan</w:t>
      </w:r>
      <w:r w:rsidRPr="002904F3">
        <w:rPr>
          <w:rStyle w:val="Emphasis"/>
          <w:i w:val="0"/>
          <w:vertAlign w:val="superscript"/>
        </w:rPr>
        <w:t>-1</w:t>
      </w:r>
    </w:p>
    <w:p w14:paraId="797275F9" w14:textId="77777777" w:rsidR="00AB649B" w:rsidRPr="002904F3" w:rsidRDefault="00AB649B" w:rsidP="00AB649B">
      <w:pPr>
        <w:pStyle w:val="NormalBB"/>
        <w:spacing w:line="480" w:lineRule="auto"/>
        <w:rPr>
          <w:rStyle w:val="Emphasis"/>
          <w:i w:val="0"/>
        </w:rPr>
      </w:pPr>
      <w:r w:rsidRPr="002904F3">
        <w:rPr>
          <w:rStyle w:val="Emphasis"/>
          <w:i w:val="0"/>
        </w:rPr>
        <w:t>μ (74 &lt; day &lt; 120 &amp; age &lt; 366) = 0.0064 lifespan</w:t>
      </w:r>
      <w:r w:rsidRPr="002904F3">
        <w:rPr>
          <w:rStyle w:val="Emphasis"/>
          <w:i w:val="0"/>
          <w:vertAlign w:val="superscript"/>
        </w:rPr>
        <w:t>-1</w:t>
      </w:r>
    </w:p>
    <w:p w14:paraId="3724CA64" w14:textId="77777777" w:rsidR="00AB649B" w:rsidRPr="002904F3" w:rsidRDefault="00AB649B" w:rsidP="00AB649B">
      <w:pPr>
        <w:pStyle w:val="NormalBB"/>
        <w:spacing w:line="480" w:lineRule="auto"/>
        <w:rPr>
          <w:rStyle w:val="Emphasis"/>
          <w:i w:val="0"/>
        </w:rPr>
      </w:pPr>
      <w:r w:rsidRPr="002904F3">
        <w:rPr>
          <w:rStyle w:val="Emphasis"/>
          <w:i w:val="0"/>
        </w:rPr>
        <w:t>μ (day &gt;120 &amp; age &lt; 366) = 0.004 lifespan</w:t>
      </w:r>
      <w:r w:rsidRPr="002904F3">
        <w:rPr>
          <w:rStyle w:val="Emphasis"/>
          <w:i w:val="0"/>
          <w:vertAlign w:val="superscript"/>
        </w:rPr>
        <w:t>-1</w:t>
      </w:r>
    </w:p>
    <w:p w14:paraId="19753EC3" w14:textId="77777777" w:rsidR="00AB649B" w:rsidRPr="002904F3" w:rsidRDefault="00AB649B" w:rsidP="00AB649B">
      <w:pPr>
        <w:pStyle w:val="NormalBB"/>
        <w:spacing w:line="480" w:lineRule="auto"/>
        <w:rPr>
          <w:rStyle w:val="Emphasis"/>
          <w:i w:val="0"/>
        </w:rPr>
      </w:pPr>
      <w:r w:rsidRPr="002904F3">
        <w:rPr>
          <w:rStyle w:val="Emphasis"/>
          <w:i w:val="0"/>
        </w:rPr>
        <w:t>μ (age &gt; 365) = 0.09 lifespan</w:t>
      </w:r>
      <w:r w:rsidRPr="002904F3">
        <w:rPr>
          <w:rStyle w:val="Emphasis"/>
          <w:i w:val="0"/>
          <w:vertAlign w:val="superscript"/>
        </w:rPr>
        <w:t>-1</w:t>
      </w:r>
      <w:r w:rsidRPr="002904F3">
        <w:rPr>
          <w:rStyle w:val="Emphasis"/>
          <w:i w:val="0"/>
        </w:rPr>
        <w:t>.</w:t>
      </w:r>
    </w:p>
    <w:p w14:paraId="41F58FEA" w14:textId="77777777" w:rsidR="00AB649B" w:rsidRPr="002904F3" w:rsidRDefault="00AB649B" w:rsidP="00AB649B">
      <w:pPr>
        <w:pStyle w:val="NormalBB"/>
        <w:spacing w:line="480" w:lineRule="auto"/>
        <w:rPr>
          <w:rStyle w:val="Emphasis"/>
          <w:i w:val="0"/>
        </w:rPr>
      </w:pPr>
      <w:r w:rsidRPr="002904F3">
        <w:rPr>
          <w:rStyle w:val="Emphasis"/>
          <w:i w:val="0"/>
        </w:rPr>
        <w:t>As an example, an individual of 100 days old on January 1 had a probability of 0.4% to die before the next time step, which is one day later. Given that animals older than one year did not occur in the CMR dataset, we increased the mortality rate once individuals reached that age in the model.</w:t>
      </w:r>
    </w:p>
    <w:p w14:paraId="049ECC05" w14:textId="77777777" w:rsidR="00AB649B" w:rsidRPr="002904F3" w:rsidRDefault="00AB649B" w:rsidP="00AB649B">
      <w:pPr>
        <w:pStyle w:val="NormalBB"/>
        <w:spacing w:line="480" w:lineRule="auto"/>
        <w:rPr>
          <w:rStyle w:val="Emphasis"/>
          <w:i w:val="0"/>
        </w:rPr>
      </w:pPr>
      <w:r w:rsidRPr="002904F3">
        <w:rPr>
          <w:rStyle w:val="Emphasis"/>
          <w:bCs/>
          <w:i w:val="0"/>
          <w:shd w:val="clear" w:color="auto" w:fill="FFFFFF"/>
        </w:rPr>
        <w:t xml:space="preserve">The following equations model the birth rate of </w:t>
      </w:r>
      <w:r w:rsidRPr="00292F2B">
        <w:rPr>
          <w:rStyle w:val="Emphasis"/>
          <w:bCs/>
          <w:shd w:val="clear" w:color="auto" w:fill="FFFFFF"/>
        </w:rPr>
        <w:t xml:space="preserve">M. </w:t>
      </w:r>
      <w:proofErr w:type="spellStart"/>
      <w:r w:rsidRPr="00292F2B">
        <w:rPr>
          <w:rStyle w:val="Emphasis"/>
          <w:bCs/>
          <w:shd w:val="clear" w:color="auto" w:fill="FFFFFF"/>
        </w:rPr>
        <w:t>natalensis</w:t>
      </w:r>
      <w:proofErr w:type="spellEnd"/>
      <w:r w:rsidRPr="002904F3">
        <w:rPr>
          <w:rStyle w:val="Emphasis"/>
          <w:bCs/>
          <w:i w:val="0"/>
          <w:shd w:val="clear" w:color="auto" w:fill="FFFFFF"/>
        </w:rPr>
        <w:t xml:space="preserve"> (Φ), </w:t>
      </w:r>
      <w:r w:rsidRPr="002904F3">
        <w:rPr>
          <w:rStyle w:val="Emphasis"/>
          <w:i w:val="0"/>
        </w:rPr>
        <w:t xml:space="preserve">which was also a function of time and age: </w:t>
      </w:r>
    </w:p>
    <w:p w14:paraId="5B057E48"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t>Φ (day &lt; 111 or day &gt; 329 &amp; age &gt; 120) = 0 [births/(individual*time interval)]</w:t>
      </w:r>
    </w:p>
    <w:p w14:paraId="7CCA7F46"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t>Φ (110 &lt; day &lt; 256 &amp; age &gt; 120) = 0.0012 * (day – 110)</w:t>
      </w:r>
      <w:r w:rsidRPr="002904F3">
        <w:rPr>
          <w:rStyle w:val="Emphasis"/>
          <w:bCs/>
          <w:i w:val="0"/>
          <w:shd w:val="clear" w:color="auto" w:fill="FFFFFF"/>
        </w:rPr>
        <w:tab/>
        <w:t xml:space="preserve"> [births/(individual*time interval)]</w:t>
      </w:r>
    </w:p>
    <w:p w14:paraId="7F818894"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lastRenderedPageBreak/>
        <w:t>Φ (255 &lt; day &lt; 330 &amp; age &gt; 120) = 0.16 * (day – 255)</w:t>
      </w:r>
      <w:r w:rsidRPr="002904F3">
        <w:rPr>
          <w:rStyle w:val="Emphasis"/>
          <w:bCs/>
          <w:i w:val="0"/>
          <w:shd w:val="clear" w:color="auto" w:fill="FFFFFF"/>
        </w:rPr>
        <w:tab/>
        <w:t>[births/(individual*time interval)]</w:t>
      </w:r>
    </w:p>
    <w:p w14:paraId="27618230"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t>Φ (age &lt; 121) = 0 [births/(individual*time interval)].</w:t>
      </w:r>
    </w:p>
    <w:p w14:paraId="62CC3EFB" w14:textId="77777777" w:rsidR="00AB649B" w:rsidRPr="002904F3" w:rsidRDefault="00AB649B" w:rsidP="00AB649B">
      <w:pPr>
        <w:pStyle w:val="NormalBB"/>
        <w:spacing w:line="480" w:lineRule="auto"/>
        <w:rPr>
          <w:rStyle w:val="Emphasis"/>
          <w:bCs/>
          <w:i w:val="0"/>
          <w:shd w:val="clear" w:color="auto" w:fill="FFFFFF"/>
        </w:rPr>
      </w:pPr>
      <w:r w:rsidRPr="002904F3">
        <w:rPr>
          <w:rStyle w:val="Emphasis"/>
          <w:bCs/>
          <w:i w:val="0"/>
          <w:shd w:val="clear" w:color="auto" w:fill="FFFFFF"/>
        </w:rPr>
        <w:t>W</w:t>
      </w:r>
      <w:r w:rsidRPr="002904F3">
        <w:rPr>
          <w:rStyle w:val="Emphasis"/>
          <w:i w:val="0"/>
        </w:rPr>
        <w:t xml:space="preserve">e assumed that individuals younger than 120 days could not give birth. </w:t>
      </w:r>
      <w:r w:rsidRPr="002904F3">
        <w:rPr>
          <w:rStyle w:val="Emphasis"/>
          <w:bCs/>
          <w:i w:val="0"/>
          <w:shd w:val="clear" w:color="auto" w:fill="FFFFFF"/>
        </w:rPr>
        <w:t xml:space="preserve">Furthermore, Φ was corrected each year by a factor in order to simulate variation in peak densities similar to the densities observed in the field data. </w:t>
      </w:r>
    </w:p>
    <w:p w14:paraId="50991154" w14:textId="77777777" w:rsidR="00AB649B" w:rsidRPr="002904F3" w:rsidRDefault="00AB649B" w:rsidP="00AB649B"/>
    <w:p w14:paraId="6883D4E9" w14:textId="4091C3AB" w:rsidR="002904F3" w:rsidRPr="00565B52" w:rsidRDefault="00AB649B" w:rsidP="002904F3">
      <w:pPr>
        <w:tabs>
          <w:tab w:val="left" w:pos="5640"/>
        </w:tabs>
        <w:spacing w:line="480" w:lineRule="auto"/>
        <w:jc w:val="both"/>
        <w:outlineLvl w:val="0"/>
        <w:rPr>
          <w:b/>
          <w:u w:val="single"/>
        </w:rPr>
      </w:pPr>
      <w:r>
        <w:rPr>
          <w:b/>
          <w:u w:val="single"/>
        </w:rPr>
        <w:t>S</w:t>
      </w:r>
      <w:r w:rsidR="002904F3" w:rsidRPr="00565B52">
        <w:rPr>
          <w:b/>
          <w:u w:val="single"/>
        </w:rPr>
        <w:t>upplementary figures</w:t>
      </w:r>
    </w:p>
    <w:p w14:paraId="248BD0A7" w14:textId="77777777" w:rsidR="002904F3" w:rsidRPr="00565B52" w:rsidRDefault="002904F3" w:rsidP="002904F3">
      <w:pPr>
        <w:tabs>
          <w:tab w:val="left" w:pos="5640"/>
        </w:tabs>
        <w:spacing w:line="480" w:lineRule="auto"/>
        <w:jc w:val="both"/>
        <w:outlineLvl w:val="0"/>
        <w:rPr>
          <w:b/>
          <w:u w:val="single"/>
        </w:rPr>
      </w:pPr>
      <w:r w:rsidRPr="00565B52">
        <w:rPr>
          <w:rFonts w:eastAsia="Times New Roman"/>
          <w:snapToGrid w:val="0"/>
          <w:color w:val="000000"/>
          <w:w w:val="0"/>
          <w:sz w:val="0"/>
          <w:szCs w:val="0"/>
          <w:u w:color="000000"/>
          <w:bdr w:val="none" w:sz="0" w:space="0" w:color="000000"/>
          <w:shd w:val="clear" w:color="000000" w:fill="000000"/>
          <w:lang w:eastAsia="x-none" w:bidi="x-none"/>
        </w:rPr>
        <w:t xml:space="preserve">  </w:t>
      </w:r>
      <w:r w:rsidRPr="00F34ACC">
        <w:rPr>
          <w:rFonts w:eastAsia="Times New Roman"/>
          <w:noProof/>
          <w:snapToGrid w:val="0"/>
          <w:color w:val="000000"/>
          <w:w w:val="0"/>
          <w:sz w:val="0"/>
          <w:szCs w:val="0"/>
          <w:u w:color="000000"/>
          <w:bdr w:val="none" w:sz="0" w:space="0" w:color="000000"/>
          <w:shd w:val="clear" w:color="000000" w:fill="000000"/>
          <w:lang w:eastAsia="en-GB"/>
        </w:rPr>
        <w:drawing>
          <wp:inline distT="0" distB="0" distL="0" distR="0" wp14:anchorId="071D62D8" wp14:editId="0D65A49B">
            <wp:extent cx="3590925" cy="2693194"/>
            <wp:effectExtent l="0" t="0" r="0" b="0"/>
            <wp:docPr id="74" name="Picture 74" descr="C:\Users\jmarien\Desktop\histogram age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arien\Desktop\histogram age3.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0039" cy="2707530"/>
                    </a:xfrm>
                    <a:prstGeom prst="rect">
                      <a:avLst/>
                    </a:prstGeom>
                    <a:noFill/>
                    <a:ln>
                      <a:noFill/>
                    </a:ln>
                  </pic:spPr>
                </pic:pic>
              </a:graphicData>
            </a:graphic>
          </wp:inline>
        </w:drawing>
      </w:r>
      <w:r w:rsidRPr="00565B52">
        <w:rPr>
          <w:b/>
          <w:u w:val="single"/>
        </w:rPr>
        <w:t xml:space="preserve"> </w:t>
      </w:r>
    </w:p>
    <w:p w14:paraId="22D060A0" w14:textId="77777777" w:rsidR="002904F3" w:rsidRDefault="002904F3" w:rsidP="002904F3">
      <w:pPr>
        <w:tabs>
          <w:tab w:val="left" w:pos="5640"/>
        </w:tabs>
        <w:jc w:val="both"/>
        <w:outlineLvl w:val="0"/>
      </w:pPr>
      <w:r w:rsidRPr="00565B52">
        <w:rPr>
          <w:b/>
        </w:rPr>
        <w:t xml:space="preserve">Fig S1: </w:t>
      </w:r>
      <w:r w:rsidRPr="00565B52">
        <w:t xml:space="preserve">Age distribution (days) of </w:t>
      </w:r>
      <w:r w:rsidRPr="00565B52">
        <w:rPr>
          <w:i/>
        </w:rPr>
        <w:t xml:space="preserve">M. </w:t>
      </w:r>
      <w:proofErr w:type="spellStart"/>
      <w:r w:rsidRPr="00565B52">
        <w:rPr>
          <w:i/>
        </w:rPr>
        <w:t>natalensis</w:t>
      </w:r>
      <w:proofErr w:type="spellEnd"/>
      <w:r w:rsidRPr="00565B52">
        <w:rPr>
          <w:i/>
        </w:rPr>
        <w:t xml:space="preserve"> </w:t>
      </w:r>
      <w:r w:rsidRPr="00565B52">
        <w:t xml:space="preserve">in the model simulations per month. Age distributions were simulated as closely as possible to field data (Leirs 1994). </w:t>
      </w:r>
    </w:p>
    <w:p w14:paraId="2F179851" w14:textId="77777777" w:rsidR="00327DA0" w:rsidRPr="00565B52" w:rsidRDefault="00327DA0" w:rsidP="002904F3">
      <w:pPr>
        <w:tabs>
          <w:tab w:val="left" w:pos="5640"/>
        </w:tabs>
        <w:jc w:val="both"/>
        <w:outlineLvl w:val="0"/>
      </w:pPr>
    </w:p>
    <w:p w14:paraId="373B2C20" w14:textId="77777777" w:rsidR="002904F3" w:rsidRPr="00565B52" w:rsidRDefault="00327DA0" w:rsidP="002904F3">
      <w:pPr>
        <w:tabs>
          <w:tab w:val="left" w:pos="5640"/>
        </w:tabs>
        <w:spacing w:line="480" w:lineRule="auto"/>
        <w:jc w:val="both"/>
        <w:outlineLvl w:val="0"/>
      </w:pPr>
      <w:r>
        <w:rPr>
          <w:noProof/>
        </w:rPr>
        <w:lastRenderedPageBreak/>
        <w:drawing>
          <wp:inline distT="0" distB="0" distL="0" distR="0" wp14:anchorId="0F688143" wp14:editId="3733AE99">
            <wp:extent cx="5891462" cy="3377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7657" cy="3381103"/>
                    </a:xfrm>
                    <a:prstGeom prst="rect">
                      <a:avLst/>
                    </a:prstGeom>
                    <a:noFill/>
                    <a:ln>
                      <a:noFill/>
                    </a:ln>
                  </pic:spPr>
                </pic:pic>
              </a:graphicData>
            </a:graphic>
          </wp:inline>
        </w:drawing>
      </w:r>
    </w:p>
    <w:p w14:paraId="74189326" w14:textId="77777777" w:rsidR="002904F3" w:rsidRPr="00565B52" w:rsidRDefault="002904F3" w:rsidP="002904F3">
      <w:pPr>
        <w:tabs>
          <w:tab w:val="left" w:pos="5640"/>
        </w:tabs>
        <w:jc w:val="both"/>
      </w:pPr>
      <w:r w:rsidRPr="00565B52">
        <w:rPr>
          <w:b/>
        </w:rPr>
        <w:t xml:space="preserve">Fig. S2: </w:t>
      </w:r>
      <w:r w:rsidRPr="00565B52">
        <w:t>Fit of mathematical models of MORV</w:t>
      </w:r>
      <w:r w:rsidR="00327DA0">
        <w:t xml:space="preserve"> transmission</w:t>
      </w:r>
      <w:r w:rsidRPr="00565B52">
        <w:t xml:space="preserve"> in a population of </w:t>
      </w:r>
      <w:r w:rsidRPr="00565B52">
        <w:rPr>
          <w:i/>
        </w:rPr>
        <w:t xml:space="preserve">M. </w:t>
      </w:r>
      <w:proofErr w:type="spellStart"/>
      <w:r w:rsidRPr="00565B52">
        <w:rPr>
          <w:i/>
        </w:rPr>
        <w:t>natalensis</w:t>
      </w:r>
      <w:proofErr w:type="spellEnd"/>
      <w:r w:rsidRPr="00565B52">
        <w:t xml:space="preserve">. </w:t>
      </w:r>
      <w:r w:rsidRPr="00565B52">
        <w:rPr>
          <w:i/>
        </w:rPr>
        <w:t>Left</w:t>
      </w:r>
      <w:r w:rsidRPr="00565B52">
        <w:t xml:space="preserve">: </w:t>
      </w:r>
      <w:r w:rsidR="00327DA0">
        <w:t>Model</w:t>
      </w:r>
      <w:r w:rsidR="00B71856">
        <w:t>s</w:t>
      </w:r>
      <w:r w:rsidR="00327DA0">
        <w:t xml:space="preserve"> with (red) and without (blue) vertical transmission and density-depend</w:t>
      </w:r>
      <w:r w:rsidR="00B71856">
        <w:t>e</w:t>
      </w:r>
      <w:r w:rsidR="00327DA0">
        <w:t xml:space="preserve">nt </w:t>
      </w:r>
      <w:r w:rsidR="00B71856">
        <w:t xml:space="preserve">horizontal </w:t>
      </w:r>
      <w:r w:rsidR="00327DA0">
        <w:t>transmission</w:t>
      </w:r>
      <w:r w:rsidRPr="00565B52">
        <w:t xml:space="preserve">. </w:t>
      </w:r>
      <w:r w:rsidR="00327DA0">
        <w:rPr>
          <w:i/>
        </w:rPr>
        <w:t>Middle</w:t>
      </w:r>
      <w:r w:rsidRPr="00565B52">
        <w:rPr>
          <w:i/>
        </w:rPr>
        <w:t xml:space="preserve">: </w:t>
      </w:r>
      <w:r w:rsidR="00327DA0">
        <w:t xml:space="preserve"> </w:t>
      </w:r>
      <w:r w:rsidR="00B71856">
        <w:t xml:space="preserve">Models with </w:t>
      </w:r>
      <w:r w:rsidR="00327DA0">
        <w:t>density- (red) and frequency- (blue) depend</w:t>
      </w:r>
      <w:r w:rsidR="00B71856">
        <w:t>e</w:t>
      </w:r>
      <w:r w:rsidR="00327DA0">
        <w:t xml:space="preserve">nt </w:t>
      </w:r>
      <w:r w:rsidR="00B71856">
        <w:t>horizontal and</w:t>
      </w:r>
      <w:r w:rsidR="00327DA0">
        <w:t xml:space="preserve"> vertical transmission. </w:t>
      </w:r>
      <w:r w:rsidR="00327DA0" w:rsidRPr="00327DA0">
        <w:rPr>
          <w:i/>
        </w:rPr>
        <w:t>Right</w:t>
      </w:r>
      <w:r w:rsidR="00327DA0">
        <w:t xml:space="preserve">: </w:t>
      </w:r>
      <w:r w:rsidR="00B71856">
        <w:t xml:space="preserve">Models with density-dependent horizontal and vertical transmission with constant (red) and season-specific (blue) </w:t>
      </w:r>
      <w:r w:rsidR="00B71856" w:rsidRPr="00B71856">
        <w:rPr>
          <w:i/>
        </w:rPr>
        <w:t>β</w:t>
      </w:r>
      <w:r w:rsidR="00B71856">
        <w:t xml:space="preserve">. </w:t>
      </w:r>
      <w:r w:rsidRPr="00565B52">
        <w:t xml:space="preserve"> Red and blue dotted lines indicate 95% confidence intervals of the model results. Black solid lines indicate 95% confidence intervals on the seasonal pattern of the field data.  </w:t>
      </w:r>
    </w:p>
    <w:p w14:paraId="6DD21C9A" w14:textId="77777777" w:rsidR="002904F3" w:rsidRPr="00565B52" w:rsidRDefault="002904F3" w:rsidP="002904F3">
      <w:pPr>
        <w:tabs>
          <w:tab w:val="left" w:pos="5640"/>
        </w:tabs>
        <w:spacing w:line="480" w:lineRule="auto"/>
        <w:jc w:val="both"/>
        <w:rPr>
          <w:b/>
        </w:rPr>
      </w:pPr>
      <w:r w:rsidRPr="00F34ACC">
        <w:rPr>
          <w:b/>
          <w:noProof/>
          <w:lang w:eastAsia="en-GB"/>
        </w:rPr>
        <w:drawing>
          <wp:inline distT="0" distB="0" distL="0" distR="0" wp14:anchorId="54BDF374" wp14:editId="16319B1C">
            <wp:extent cx="4586367" cy="3131820"/>
            <wp:effectExtent l="0" t="0" r="5080" b="0"/>
            <wp:docPr id="76" name="Picture 76" descr="C:\Users\jmarien\Desktop\Age- ab prese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arien\Desktop\Age- ab presence.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6970" cy="3139060"/>
                    </a:xfrm>
                    <a:prstGeom prst="rect">
                      <a:avLst/>
                    </a:prstGeom>
                    <a:noFill/>
                    <a:ln>
                      <a:noFill/>
                    </a:ln>
                  </pic:spPr>
                </pic:pic>
              </a:graphicData>
            </a:graphic>
          </wp:inline>
        </w:drawing>
      </w:r>
    </w:p>
    <w:p w14:paraId="30A02D44" w14:textId="77777777" w:rsidR="002904F3" w:rsidRDefault="002904F3" w:rsidP="002904F3">
      <w:pPr>
        <w:tabs>
          <w:tab w:val="left" w:pos="5640"/>
        </w:tabs>
        <w:jc w:val="both"/>
      </w:pPr>
      <w:r w:rsidRPr="00565B52">
        <w:rPr>
          <w:b/>
        </w:rPr>
        <w:t xml:space="preserve">Fig S3: </w:t>
      </w:r>
      <w:r w:rsidRPr="00565B52">
        <w:t xml:space="preserve"> Correlations between body weight of </w:t>
      </w:r>
      <w:r w:rsidRPr="00565B52">
        <w:rPr>
          <w:i/>
        </w:rPr>
        <w:t xml:space="preserve">Mastomys </w:t>
      </w:r>
      <w:proofErr w:type="spellStart"/>
      <w:r w:rsidRPr="00565B52">
        <w:rPr>
          <w:i/>
        </w:rPr>
        <w:t>natalensis</w:t>
      </w:r>
      <w:proofErr w:type="spellEnd"/>
      <w:r w:rsidRPr="00565B52">
        <w:rPr>
          <w:i/>
        </w:rPr>
        <w:t xml:space="preserve"> </w:t>
      </w:r>
      <w:r w:rsidRPr="00565B52">
        <w:t xml:space="preserve">(as a proxy for age) and probability of being Morogoro virus-antibody positive at different periods of the year (June-August, September-November, December, February and March-May). The figure suggests that both season (density) and age are predictors of antibody presence in </w:t>
      </w:r>
      <w:r w:rsidRPr="00565B52">
        <w:rPr>
          <w:i/>
        </w:rPr>
        <w:t xml:space="preserve">M. </w:t>
      </w:r>
      <w:proofErr w:type="spellStart"/>
      <w:r w:rsidRPr="00565B52">
        <w:rPr>
          <w:i/>
        </w:rPr>
        <w:t>natalensis</w:t>
      </w:r>
      <w:proofErr w:type="spellEnd"/>
      <w:r w:rsidRPr="00565B52">
        <w:t xml:space="preserve">. </w:t>
      </w:r>
    </w:p>
    <w:p w14:paraId="0BF56425" w14:textId="77777777" w:rsidR="002904F3" w:rsidRPr="008333F9" w:rsidRDefault="002904F3" w:rsidP="002904F3">
      <w:pPr>
        <w:pStyle w:val="NormalBB"/>
        <w:spacing w:line="480" w:lineRule="auto"/>
        <w:rPr>
          <w:rStyle w:val="Emphasis"/>
          <w:bCs/>
          <w:i w:val="0"/>
          <w:shd w:val="clear" w:color="auto" w:fill="FFFFFF"/>
        </w:rPr>
      </w:pPr>
    </w:p>
    <w:p w14:paraId="600F9C22" w14:textId="77777777" w:rsidR="002904F3" w:rsidRPr="008333F9" w:rsidRDefault="002904F3" w:rsidP="002904F3">
      <w:pPr>
        <w:pStyle w:val="NormalBB"/>
        <w:spacing w:line="480" w:lineRule="auto"/>
        <w:rPr>
          <w:rStyle w:val="Emphasis"/>
          <w:bCs/>
          <w:i w:val="0"/>
          <w:shd w:val="clear" w:color="auto" w:fill="FFFFFF"/>
        </w:rPr>
      </w:pPr>
      <w:r w:rsidRPr="008333F9">
        <w:rPr>
          <w:noProof/>
          <w:lang w:eastAsia="en-GB"/>
        </w:rPr>
        <w:drawing>
          <wp:inline distT="0" distB="0" distL="0" distR="0" wp14:anchorId="08183F37" wp14:editId="253DE3BE">
            <wp:extent cx="3594174" cy="20345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685" cy="2067095"/>
                    </a:xfrm>
                    <a:prstGeom prst="rect">
                      <a:avLst/>
                    </a:prstGeom>
                  </pic:spPr>
                </pic:pic>
              </a:graphicData>
            </a:graphic>
          </wp:inline>
        </w:drawing>
      </w:r>
      <w:r w:rsidRPr="008333F9">
        <w:rPr>
          <w:rStyle w:val="Emphasis"/>
          <w:bCs/>
          <w:i w:val="0"/>
          <w:noProof/>
          <w:shd w:val="clear" w:color="auto" w:fill="FFFFFF"/>
          <w:lang w:eastAsia="en-GB"/>
        </w:rPr>
        <w:drawing>
          <wp:inline distT="0" distB="0" distL="0" distR="0" wp14:anchorId="5256C3CB" wp14:editId="65A21F6E">
            <wp:extent cx="1277815" cy="1512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5639" cy="1545215"/>
                    </a:xfrm>
                    <a:prstGeom prst="rect">
                      <a:avLst/>
                    </a:prstGeom>
                    <a:noFill/>
                    <a:ln>
                      <a:noFill/>
                    </a:ln>
                  </pic:spPr>
                </pic:pic>
              </a:graphicData>
            </a:graphic>
          </wp:inline>
        </w:drawing>
      </w:r>
    </w:p>
    <w:p w14:paraId="51E5A323" w14:textId="77777777" w:rsidR="002904F3" w:rsidRPr="002904F3" w:rsidRDefault="002904F3" w:rsidP="002904F3">
      <w:pPr>
        <w:pStyle w:val="NormalBB"/>
        <w:spacing w:line="240" w:lineRule="auto"/>
        <w:rPr>
          <w:rStyle w:val="Emphasis"/>
          <w:bCs/>
          <w:i w:val="0"/>
          <w:shd w:val="clear" w:color="auto" w:fill="FFFFFF"/>
        </w:rPr>
      </w:pPr>
      <w:r w:rsidRPr="002904F3">
        <w:rPr>
          <w:rStyle w:val="Emphasis"/>
          <w:b/>
          <w:bCs/>
          <w:i w:val="0"/>
          <w:shd w:val="clear" w:color="auto" w:fill="FFFFFF"/>
        </w:rPr>
        <w:t>Fig S4</w:t>
      </w:r>
      <w:r w:rsidRPr="002904F3">
        <w:rPr>
          <w:rStyle w:val="Emphasis"/>
          <w:bCs/>
          <w:i w:val="0"/>
          <w:shd w:val="clear" w:color="auto" w:fill="FFFFFF"/>
        </w:rPr>
        <w:t xml:space="preserve">: Individual 170: MORV RNA was detected in excretions (saliva and urine) every week, in blood on week one and three, and in the kidneys (week eight). Antibodies were only detected on week seven. </w:t>
      </w:r>
    </w:p>
    <w:p w14:paraId="71B046EF" w14:textId="77777777" w:rsidR="002904F3" w:rsidRPr="002904F3" w:rsidRDefault="002904F3" w:rsidP="002904F3">
      <w:pPr>
        <w:pStyle w:val="NormalBB"/>
        <w:spacing w:line="480" w:lineRule="auto"/>
        <w:rPr>
          <w:rStyle w:val="Emphasis"/>
          <w:bCs/>
          <w:i w:val="0"/>
          <w:shd w:val="clear" w:color="auto" w:fill="FFFFFF"/>
        </w:rPr>
      </w:pPr>
    </w:p>
    <w:p w14:paraId="129E3B22" w14:textId="77777777" w:rsidR="002904F3" w:rsidRPr="008333F9" w:rsidRDefault="002904F3" w:rsidP="002904F3">
      <w:pPr>
        <w:pStyle w:val="NormalBB"/>
        <w:spacing w:line="480" w:lineRule="auto"/>
        <w:rPr>
          <w:rStyle w:val="Emphasis"/>
          <w:bCs/>
          <w:i w:val="0"/>
          <w:shd w:val="clear" w:color="auto" w:fill="FFFFFF"/>
        </w:rPr>
      </w:pPr>
      <w:r w:rsidRPr="008333F9">
        <w:rPr>
          <w:noProof/>
          <w:lang w:eastAsia="en-GB"/>
        </w:rPr>
        <w:drawing>
          <wp:inline distT="0" distB="0" distL="0" distR="0" wp14:anchorId="179CB341" wp14:editId="7195747D">
            <wp:extent cx="3513406"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132" cy="2039611"/>
                    </a:xfrm>
                    <a:prstGeom prst="rect">
                      <a:avLst/>
                    </a:prstGeom>
                  </pic:spPr>
                </pic:pic>
              </a:graphicData>
            </a:graphic>
          </wp:inline>
        </w:drawing>
      </w:r>
      <w:r w:rsidRPr="008333F9">
        <w:rPr>
          <w:rStyle w:val="Emphasis"/>
          <w:bCs/>
          <w:i w:val="0"/>
          <w:noProof/>
          <w:shd w:val="clear" w:color="auto" w:fill="FFFFFF"/>
          <w:lang w:eastAsia="en-GB"/>
        </w:rPr>
        <w:drawing>
          <wp:inline distT="0" distB="0" distL="0" distR="0" wp14:anchorId="0DA2E23D" wp14:editId="3CCDF755">
            <wp:extent cx="1277815" cy="15122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5639" cy="1545215"/>
                    </a:xfrm>
                    <a:prstGeom prst="rect">
                      <a:avLst/>
                    </a:prstGeom>
                    <a:noFill/>
                    <a:ln>
                      <a:noFill/>
                    </a:ln>
                  </pic:spPr>
                </pic:pic>
              </a:graphicData>
            </a:graphic>
          </wp:inline>
        </w:drawing>
      </w:r>
    </w:p>
    <w:p w14:paraId="5B4F4803" w14:textId="77777777" w:rsidR="002904F3" w:rsidRPr="002904F3" w:rsidRDefault="002904F3" w:rsidP="002904F3">
      <w:pPr>
        <w:pStyle w:val="NormalBB"/>
        <w:spacing w:line="240" w:lineRule="auto"/>
        <w:rPr>
          <w:rStyle w:val="Emphasis"/>
          <w:bCs/>
          <w:i w:val="0"/>
          <w:shd w:val="clear" w:color="auto" w:fill="FFFFFF"/>
        </w:rPr>
      </w:pPr>
      <w:r w:rsidRPr="002904F3">
        <w:rPr>
          <w:rStyle w:val="Emphasis"/>
          <w:b/>
          <w:bCs/>
          <w:i w:val="0"/>
          <w:shd w:val="clear" w:color="auto" w:fill="FFFFFF"/>
        </w:rPr>
        <w:t>Fig S5</w:t>
      </w:r>
      <w:r w:rsidRPr="002904F3">
        <w:rPr>
          <w:rStyle w:val="Emphasis"/>
          <w:bCs/>
          <w:i w:val="0"/>
          <w:shd w:val="clear" w:color="auto" w:fill="FFFFFF"/>
        </w:rPr>
        <w:t>: Individual 180: MORV RNA was detected in excretions (saliva and urine) every week, in blood the first five weeks, and in the kidneys (week eight). Antibodies were not detected.</w:t>
      </w:r>
    </w:p>
    <w:p w14:paraId="0B8A91EE" w14:textId="77777777" w:rsidR="002904F3" w:rsidRPr="002904F3" w:rsidRDefault="002904F3" w:rsidP="002904F3">
      <w:pPr>
        <w:pStyle w:val="NormalBB"/>
        <w:spacing w:line="480" w:lineRule="auto"/>
        <w:rPr>
          <w:rStyle w:val="Emphasis"/>
          <w:bCs/>
          <w:i w:val="0"/>
          <w:shd w:val="clear" w:color="auto" w:fill="FFFFFF"/>
        </w:rPr>
      </w:pPr>
    </w:p>
    <w:p w14:paraId="5E0D0E15" w14:textId="77777777" w:rsidR="002904F3" w:rsidRPr="008333F9" w:rsidRDefault="002904F3" w:rsidP="002904F3">
      <w:pPr>
        <w:pStyle w:val="NormalBB"/>
        <w:spacing w:line="480" w:lineRule="auto"/>
        <w:rPr>
          <w:rStyle w:val="Emphasis"/>
          <w:bCs/>
          <w:i w:val="0"/>
          <w:shd w:val="clear" w:color="auto" w:fill="FFFFFF"/>
        </w:rPr>
      </w:pPr>
      <w:r w:rsidRPr="008333F9">
        <w:rPr>
          <w:noProof/>
          <w:lang w:eastAsia="en-GB"/>
        </w:rPr>
        <w:drawing>
          <wp:inline distT="0" distB="0" distL="0" distR="0" wp14:anchorId="4496420F" wp14:editId="53710C8B">
            <wp:extent cx="3338946" cy="1890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364" cy="1954832"/>
                    </a:xfrm>
                    <a:prstGeom prst="rect">
                      <a:avLst/>
                    </a:prstGeom>
                  </pic:spPr>
                </pic:pic>
              </a:graphicData>
            </a:graphic>
          </wp:inline>
        </w:drawing>
      </w:r>
      <w:r w:rsidRPr="008333F9">
        <w:rPr>
          <w:rStyle w:val="Emphasis"/>
          <w:bCs/>
          <w:i w:val="0"/>
          <w:noProof/>
          <w:shd w:val="clear" w:color="auto" w:fill="FFFFFF"/>
          <w:lang w:eastAsia="en-GB"/>
        </w:rPr>
        <w:drawing>
          <wp:inline distT="0" distB="0" distL="0" distR="0" wp14:anchorId="32FB1B32" wp14:editId="664F19D0">
            <wp:extent cx="1277815" cy="1512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5639" cy="1545215"/>
                    </a:xfrm>
                    <a:prstGeom prst="rect">
                      <a:avLst/>
                    </a:prstGeom>
                    <a:noFill/>
                    <a:ln>
                      <a:noFill/>
                    </a:ln>
                  </pic:spPr>
                </pic:pic>
              </a:graphicData>
            </a:graphic>
          </wp:inline>
        </w:drawing>
      </w:r>
    </w:p>
    <w:p w14:paraId="35E2256E" w14:textId="77777777" w:rsidR="002904F3" w:rsidRPr="002904F3" w:rsidRDefault="002904F3" w:rsidP="002904F3">
      <w:pPr>
        <w:pStyle w:val="NormalBB"/>
        <w:spacing w:line="240" w:lineRule="auto"/>
        <w:rPr>
          <w:rStyle w:val="Emphasis"/>
          <w:bCs/>
          <w:i w:val="0"/>
          <w:shd w:val="clear" w:color="auto" w:fill="FFFFFF"/>
        </w:rPr>
      </w:pPr>
      <w:r w:rsidRPr="002904F3">
        <w:rPr>
          <w:rStyle w:val="Emphasis"/>
          <w:b/>
          <w:bCs/>
          <w:i w:val="0"/>
          <w:shd w:val="clear" w:color="auto" w:fill="FFFFFF"/>
        </w:rPr>
        <w:lastRenderedPageBreak/>
        <w:t>Fig S6:</w:t>
      </w:r>
      <w:r w:rsidRPr="002904F3">
        <w:rPr>
          <w:rStyle w:val="Emphasis"/>
          <w:bCs/>
          <w:i w:val="0"/>
          <w:shd w:val="clear" w:color="auto" w:fill="FFFFFF"/>
        </w:rPr>
        <w:t xml:space="preserve"> individual 220: MORV RNA was detected in the kidneys only (week eight). Antibodies were detected in week one and two, suggesting that this individual became infected before it was captured, removed the virus from blood and excretions, but retained the virus in its organs. </w:t>
      </w:r>
    </w:p>
    <w:p w14:paraId="3FC2B2B8" w14:textId="77777777" w:rsidR="002904F3" w:rsidRDefault="002904F3" w:rsidP="002904F3">
      <w:pPr>
        <w:tabs>
          <w:tab w:val="left" w:pos="5640"/>
        </w:tabs>
        <w:spacing w:line="480" w:lineRule="auto"/>
      </w:pPr>
    </w:p>
    <w:p w14:paraId="1DE57745" w14:textId="77777777" w:rsidR="00051A9A" w:rsidRPr="002904F3" w:rsidRDefault="00051A9A">
      <w:bookmarkStart w:id="0" w:name="_GoBack"/>
      <w:bookmarkEnd w:id="0"/>
    </w:p>
    <w:sectPr w:rsidR="00051A9A" w:rsidRPr="00290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028"/>
    <w:rsid w:val="00051A9A"/>
    <w:rsid w:val="002904F3"/>
    <w:rsid w:val="00292F2B"/>
    <w:rsid w:val="00327DA0"/>
    <w:rsid w:val="003605D1"/>
    <w:rsid w:val="003C7028"/>
    <w:rsid w:val="00AB649B"/>
    <w:rsid w:val="00B71856"/>
    <w:rsid w:val="00C32073"/>
    <w:rsid w:val="00D44C25"/>
    <w:rsid w:val="00E530A6"/>
    <w:rsid w:val="00F540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1CE6"/>
  <w15:chartTrackingRefBased/>
  <w15:docId w15:val="{49E46DD7-8332-4918-B56E-AF01DE1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4F3"/>
    <w:pPr>
      <w:spacing w:after="0" w:line="240" w:lineRule="auto"/>
    </w:pPr>
    <w:rPr>
      <w:rFonts w:ascii="Times New Roman" w:eastAsiaTheme="minorEastAsia"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04F3"/>
    <w:rPr>
      <w:i/>
      <w:iCs/>
    </w:rPr>
  </w:style>
  <w:style w:type="paragraph" w:customStyle="1" w:styleId="NormalBB">
    <w:name w:val="Normal (BB)"/>
    <w:basedOn w:val="Normal"/>
    <w:qFormat/>
    <w:rsid w:val="002904F3"/>
    <w:pPr>
      <w:spacing w:after="100" w:line="288" w:lineRule="auto"/>
      <w:jc w:val="both"/>
    </w:pPr>
    <w:rPr>
      <w:lang w:eastAsia="ja-JP"/>
    </w:rPr>
  </w:style>
  <w:style w:type="paragraph" w:styleId="BalloonText">
    <w:name w:val="Balloon Text"/>
    <w:basedOn w:val="Normal"/>
    <w:link w:val="BalloonTextChar"/>
    <w:uiPriority w:val="99"/>
    <w:semiHidden/>
    <w:unhideWhenUsed/>
    <w:rsid w:val="00D44C25"/>
    <w:rPr>
      <w:sz w:val="18"/>
      <w:szCs w:val="18"/>
    </w:rPr>
  </w:style>
  <w:style w:type="character" w:customStyle="1" w:styleId="BalloonTextChar">
    <w:name w:val="Balloon Text Char"/>
    <w:basedOn w:val="DefaultParagraphFont"/>
    <w:link w:val="BalloonText"/>
    <w:uiPriority w:val="99"/>
    <w:semiHidden/>
    <w:rsid w:val="00D44C25"/>
    <w:rPr>
      <w:rFonts w:ascii="Times New Roman" w:eastAsiaTheme="minorEastAsia" w:hAnsi="Times New Roman" w:cs="Times New Roman"/>
      <w:sz w:val="18"/>
      <w:szCs w:val="18"/>
      <w:lang w:val="en-GB"/>
    </w:rPr>
  </w:style>
  <w:style w:type="character" w:styleId="CommentReference">
    <w:name w:val="annotation reference"/>
    <w:basedOn w:val="DefaultParagraphFont"/>
    <w:uiPriority w:val="99"/>
    <w:semiHidden/>
    <w:unhideWhenUsed/>
    <w:rsid w:val="00E530A6"/>
    <w:rPr>
      <w:sz w:val="16"/>
      <w:szCs w:val="16"/>
    </w:rPr>
  </w:style>
  <w:style w:type="paragraph" w:styleId="CommentText">
    <w:name w:val="annotation text"/>
    <w:basedOn w:val="Normal"/>
    <w:link w:val="CommentTextChar"/>
    <w:uiPriority w:val="99"/>
    <w:semiHidden/>
    <w:unhideWhenUsed/>
    <w:rsid w:val="00E530A6"/>
    <w:rPr>
      <w:sz w:val="20"/>
      <w:szCs w:val="20"/>
    </w:rPr>
  </w:style>
  <w:style w:type="character" w:customStyle="1" w:styleId="CommentTextChar">
    <w:name w:val="Comment Text Char"/>
    <w:basedOn w:val="DefaultParagraphFont"/>
    <w:link w:val="CommentText"/>
    <w:uiPriority w:val="99"/>
    <w:semiHidden/>
    <w:rsid w:val="00E530A6"/>
    <w:rPr>
      <w:rFonts w:ascii="Times New Roman" w:eastAsiaTheme="minorEastAsia"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530A6"/>
    <w:rPr>
      <w:b/>
      <w:bCs/>
    </w:rPr>
  </w:style>
  <w:style w:type="character" w:customStyle="1" w:styleId="CommentSubjectChar">
    <w:name w:val="Comment Subject Char"/>
    <w:basedOn w:val="CommentTextChar"/>
    <w:link w:val="CommentSubject"/>
    <w:uiPriority w:val="99"/>
    <w:semiHidden/>
    <w:rsid w:val="00E530A6"/>
    <w:rPr>
      <w:rFonts w:ascii="Times New Roman" w:eastAsiaTheme="minorEastAsia"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1D39-4346-44AE-8E7A-224A3681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590</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Universiteit Antwerpen</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Mariën Joachim</dc:creator>
  <cp:keywords/>
  <dc:description/>
  <cp:lastModifiedBy>Joachim Mariën</cp:lastModifiedBy>
  <cp:revision>3</cp:revision>
  <dcterms:created xsi:type="dcterms:W3CDTF">2019-06-14T07:41:00Z</dcterms:created>
  <dcterms:modified xsi:type="dcterms:W3CDTF">2019-06-14T10:47:00Z</dcterms:modified>
</cp:coreProperties>
</file>