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C5FC2" w14:textId="50A80F3C" w:rsidR="00853419" w:rsidRDefault="007570C3">
      <w:pPr>
        <w:pStyle w:val="Title"/>
        <w:jc w:val="center"/>
      </w:pPr>
      <w:r>
        <w:t>Bank Management System Design Pattern</w:t>
      </w:r>
      <w:r w:rsidR="002A6F6B">
        <w:t>s</w:t>
      </w:r>
    </w:p>
    <w:p w14:paraId="07A05C7E" w14:textId="77777777" w:rsidR="00853419" w:rsidRDefault="007570C3">
      <w:pPr>
        <w:pStyle w:val="Heading1"/>
      </w:pPr>
      <w:r>
        <w:t>Singleton Pattern</w:t>
      </w:r>
    </w:p>
    <w:p w14:paraId="2E0905F9" w14:textId="77777777" w:rsidR="00853419" w:rsidRDefault="007570C3">
      <w:r>
        <w:t>T</w:t>
      </w:r>
      <w:r>
        <w:t>he Singleton pattern was chosen for the Bank Management System because the system requires one controlled acces</w:t>
      </w:r>
      <w:r>
        <w:t>s point for audit-trail operations, especially for sensitive actions such as user login, account creation, fund transfers, withdrawals, permission changes, and fraud investigation. The existing AuditLog class already contains the central audit behavior thr</w:t>
      </w:r>
      <w:r>
        <w:t>ough record(userID, action, module, outcome), retrieve(filters), exportToCSV(filters), and purgeOldLogs(olderThan), so applying Singleton to this class prevents different parts of the system from creating separate audit-log handlers with inconsistent state</w:t>
      </w:r>
      <w:r>
        <w:t xml:space="preserve"> or behavior. This solves a real system problem because the project requires tamper-proof logging of user actions, financial transactions, administrative changes, and access attempts, and these logs must remain consistent across modules. Classes such as Us</w:t>
      </w:r>
      <w:r>
        <w:t>er, Administrator, BankDirector, BankStaff, and BankTeller can all access the same audit-log instance through getInstance() instead of each one managing audit logging independently. This improves maintainability because changes to audit storage, log export</w:t>
      </w:r>
      <w:r>
        <w:t>, or retention logic remain localized inside AuditLog rather than scattered across banking, account, transaction, and administration classes. It also improves extensibility because future modules, such as loan processing or facilities management, can reuse</w:t>
      </w:r>
      <w:r>
        <w:t xml:space="preserve"> the same audit-log access point without changing the existing client classes. Used narrowly, this supports the Single Responsibility Principle by keeping audit logging inside one class and supports the Open/Closed Principle because clients can continue us</w:t>
      </w:r>
      <w:r>
        <w:t>ing the same AuditLog operations even if the internal logging implementation changes.</w:t>
      </w:r>
    </w:p>
    <w:p w14:paraId="2B36DDC7" w14:textId="77777777" w:rsidR="00853419" w:rsidRDefault="007570C3">
      <w:pPr>
        <w:pStyle w:val="Heading1"/>
      </w:pPr>
      <w:r>
        <w:t>Command Pattern</w:t>
      </w:r>
    </w:p>
    <w:p w14:paraId="72E6D73C" w14:textId="77777777" w:rsidR="00853419" w:rsidRDefault="007570C3">
      <w:r>
        <w:t>The Command pattern was chosen for the Bank Management System because the system handles several transaction requests that must be processed consistently,</w:t>
      </w:r>
      <w:r>
        <w:t xml:space="preserve"> including deposits, withdrawals, fund transfers, bulk payments, and recurring payment executions. The existing Transaction class already contains the shared command data and behavior through attributes such as amount, status, sourceAccountID, destinationA</w:t>
      </w:r>
      <w:r>
        <w:t>ccountID, and methods such as process(), cancel(), and isReversible(), while Deposit, Withdrawal, FundTransfer, and BulkPayment specialize the transaction behavior. This pattern solves the problem of treating different banking operations as executable requ</w:t>
      </w:r>
      <w:r>
        <w:t>est objects, so they can be queued, processed, reversed when allowed, and recorded without forcing Customer, BankTeller, or BankStaff to know the internal logic of each transaction type. A new TransactionCommand interface and TransactionProcessor invoker a</w:t>
      </w:r>
      <w:r>
        <w:t>re introduced only to formalize the pattern structure, while the real transaction classes from the system remain the concrete commands. This improves maintainability because transaction execution rules are kept inside transaction classes instead of being s</w:t>
      </w:r>
      <w:r>
        <w:t>cattered across user-role classes. It also improves extensibility because new transaction types can be added later by extending Transaction and implementing the same command interface without modifying the existing invoker logic. The design supports the Si</w:t>
      </w:r>
      <w:r>
        <w:t>ngle Responsibility Principle by separating request initiation from request execution, and it supports the Open/Closed Principle and Dependency Inversion Principle by allowing the processor to depend on the TransactionCommand abstraction rather than concre</w:t>
      </w:r>
      <w:r>
        <w:t>te transaction classes.</w:t>
      </w:r>
    </w:p>
    <w:p w14:paraId="1CDBFEA0" w14:textId="77777777" w:rsidR="00853419" w:rsidRDefault="007570C3">
      <w:pPr>
        <w:pStyle w:val="Heading1"/>
      </w:pPr>
      <w:r>
        <w:lastRenderedPageBreak/>
        <w:t>Factory Pattern</w:t>
      </w:r>
    </w:p>
    <w:p w14:paraId="3EC41445" w14:textId="77777777" w:rsidR="00853419" w:rsidRDefault="007570C3">
      <w:r>
        <w:t>The Factory pattern was chosen for the Bank Management System because the system must create different account objects, such as SavingsAccount, CurrentAccount, FixedDepositAccount, and LoanAccount, while keeping acco</w:t>
      </w:r>
      <w:r>
        <w:t>unt creation logic separate from user-role classes like BankStaff and BankTeller. In the existing system, BankStaff.createAccount(customerID, type, data) and BankTeller.openNewAccount(customerID, type) start the account-opening process, but these classes s</w:t>
      </w:r>
      <w:r>
        <w:t>hould not directly decide which concrete account subclass to instantiate. The common superclass BankAccount already defines shared account data and behavior through attributes such as accountID, accountNumber, accountType, status, balance, and currency, wh</w:t>
      </w:r>
      <w:r>
        <w:t>ile each account subclass adds its own specialized behavior such as calculating interest, checking overdraft, calculating maturity amount, or processing repayment. The Factory pattern solves this by introducing an AccountFactory that centralizes account ob</w:t>
      </w:r>
      <w:r>
        <w:t>ject creation and returns the result as a BankAccount, allowing the rest of the system to work with the common account abstraction. This improves maintainability because account creation rules are localized in one creation component instead of being scatte</w:t>
      </w:r>
      <w:r>
        <w:t>red across teller and staff workflows. It also improves extensibility because new account types can be added later by creating a new BankAccount subclass and extending the factory creation logic without changing the client workflow. The design supports the</w:t>
      </w:r>
      <w:r>
        <w:t xml:space="preserve"> Single Responsibility Principle by moving creation responsibility into the factory, the Open/Closed Principle by allowing account variations to be extended through new products, and the Dependency Inversion Principle because clients depend on the BankAcco</w:t>
      </w:r>
      <w:r>
        <w:t>unt abstraction rather than concrete account implementations.</w:t>
      </w:r>
    </w:p>
    <w:p w14:paraId="034A743C" w14:textId="77777777" w:rsidR="00853419" w:rsidRDefault="007570C3">
      <w:pPr>
        <w:pStyle w:val="Heading1"/>
      </w:pPr>
      <w:r>
        <w:t>Proxy Pattern</w:t>
      </w:r>
    </w:p>
    <w:p w14:paraId="5A59DB1E" w14:textId="77777777" w:rsidR="00853419" w:rsidRDefault="007570C3">
      <w:r>
        <w:t>The Proxy pattern was chosen for the Bank Management System because the riskiest operations occur when a user request enters the banking backend, especially for deposits, withdrawa</w:t>
      </w:r>
      <w:r>
        <w:t xml:space="preserve">ls, fund transfers, and bulk payments. Instead of letting Customer, BankTeller, or BankStaff send transaction requests directly to Transaction, the new SecureTransactionProxy filters the request first and only delegates to the real transaction object when </w:t>
      </w:r>
      <w:r>
        <w:t>the user session, role permissions, transaction limits, and duplicate-request checks are valid. This solves concrete banking problems such as accidental double submission of the same transfer, unauthorized access to transaction processing, repeated withdra</w:t>
      </w:r>
      <w:r>
        <w:t>wal attempts, and unlogged failed operations. The existing User, Role, and Permission classes are used to verify whether the current user may perform the requested operation, while AuditLog records both accepted and rejected requests. The existing Transact</w:t>
      </w:r>
      <w:r>
        <w:t>ion hierarchy remains responsible for the real transaction behavior through process(), cancel(), and isReversible(), while the proxy adds protection without changing those transaction classes. This improves maintainability because security filtering is cen</w:t>
      </w:r>
      <w:r>
        <w:t>tralized at the backend entry point instead of being repeated inside every transaction type or user-role class. The design supports the Single Responsibility Principle by separating access filtering from transaction execution, the Open/Closed Principle bec</w:t>
      </w:r>
      <w:r>
        <w:t>ause new transaction types can still be added under Transaction, and the Dependency Inversion Principle because clients depend on the TransactionAccess abstraction rather than directly on concrete transaction classes.</w:t>
      </w:r>
    </w:p>
    <w:sectPr w:rsidR="00853419" w:rsidSect="00034616">
      <w:footerReference w:type="default" r:id="rId8"/>
      <w:pgSz w:w="12240" w:h="15840"/>
      <w:pgMar w:top="1224"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73C30" w14:textId="77777777" w:rsidR="007570C3" w:rsidRDefault="007570C3">
      <w:pPr>
        <w:spacing w:after="0" w:line="240" w:lineRule="auto"/>
      </w:pPr>
      <w:r>
        <w:separator/>
      </w:r>
    </w:p>
  </w:endnote>
  <w:endnote w:type="continuationSeparator" w:id="0">
    <w:p w14:paraId="7F098E64" w14:textId="77777777" w:rsidR="007570C3" w:rsidRDefault="0075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3B454" w14:textId="39FC8B02" w:rsidR="00853419" w:rsidRDefault="0085341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0CF4C" w14:textId="77777777" w:rsidR="007570C3" w:rsidRDefault="007570C3">
      <w:pPr>
        <w:spacing w:after="0" w:line="240" w:lineRule="auto"/>
      </w:pPr>
      <w:r>
        <w:separator/>
      </w:r>
    </w:p>
  </w:footnote>
  <w:footnote w:type="continuationSeparator" w:id="0">
    <w:p w14:paraId="51121ACA" w14:textId="77777777" w:rsidR="007570C3" w:rsidRDefault="007570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F6B"/>
    <w:rsid w:val="00326F90"/>
    <w:rsid w:val="007570C3"/>
    <w:rsid w:val="008534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0A123"/>
  <w14:defaultImageDpi w14:val="300"/>
  <w15:docId w15:val="{B7C3DA46-DA7E-4EB6-9DF0-044298417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ptos" w:eastAsia="Aptos" w:hAnsi="Aptos"/>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1051</Words>
  <Characters>5992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Management System Design Pattern Explanations</dc:title>
  <dc:subject>Design pattern explanation paragraphs</dc:subject>
  <dc:creator/>
  <cp:keywords/>
  <dc:description/>
  <cp:lastModifiedBy>domijoandri@gmail.com</cp:lastModifiedBy>
  <cp:revision>3</cp:revision>
  <dcterms:created xsi:type="dcterms:W3CDTF">2013-12-23T23:15:00Z</dcterms:created>
  <dcterms:modified xsi:type="dcterms:W3CDTF">2026-05-20T22:18:00Z</dcterms:modified>
  <cp:category/>
</cp:coreProperties>
</file>