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6C" w:rsidRDefault="00FB2C6C">
      <w:r>
        <w:t>SEMKUR-quantitative</w:t>
      </w:r>
    </w:p>
    <w:p w:rsidR="00FB2C6C" w:rsidRDefault="00FB2C6C">
      <w:r>
        <w:t xml:space="preserve">This probe operates as a traditional FRET probe (see the chart below).  (Add FRET image)  </w:t>
      </w:r>
    </w:p>
    <w:p w:rsidR="00D7526C" w:rsidRDefault="00D31D50">
      <w:bookmarkStart w:id="0" w:name="_GoBack"/>
      <w:r>
        <w:rPr>
          <w:noProof/>
        </w:rPr>
        <w:drawing>
          <wp:inline distT="0" distB="0" distL="0" distR="0" wp14:anchorId="11D08E4F" wp14:editId="64AF4DCB">
            <wp:extent cx="5956101" cy="2762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686" t="29914" r="27083" b="33618"/>
                    <a:stretch/>
                  </pic:blipFill>
                  <pic:spPr bwMode="auto">
                    <a:xfrm>
                      <a:off x="0" y="0"/>
                      <a:ext cx="5956101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D31D50" w:rsidRDefault="00FB2C6C">
      <w:r>
        <w:t xml:space="preserve">The table below shows the reduction of SEMKUR-quantitative by 2mM Glutathione at an excitation at 325nm.  </w:t>
      </w:r>
    </w:p>
    <w:p w:rsidR="00D31D50" w:rsidRDefault="00D31D50">
      <w:r>
        <w:rPr>
          <w:noProof/>
        </w:rPr>
        <w:drawing>
          <wp:inline distT="0" distB="0" distL="0" distR="0" wp14:anchorId="27BFDAD0" wp14:editId="196E1EC6">
            <wp:extent cx="4657725" cy="1683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24" t="37823" r="39884" b="44967"/>
                    <a:stretch/>
                  </pic:blipFill>
                  <pic:spPr bwMode="auto">
                    <a:xfrm>
                      <a:off x="0" y="0"/>
                      <a:ext cx="4665165" cy="16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C6C" w:rsidRDefault="00FB2C6C">
      <w:r>
        <w:t xml:space="preserve">At 16mM glutathione, you can see a very different profile at an excitation of 325nm.  </w:t>
      </w:r>
    </w:p>
    <w:p w:rsidR="00FB2C6C" w:rsidRDefault="00FB2C6C">
      <w:r>
        <w:rPr>
          <w:noProof/>
        </w:rPr>
        <w:drawing>
          <wp:inline distT="0" distB="0" distL="0" distR="0" wp14:anchorId="7BD5AB49" wp14:editId="4F191318">
            <wp:extent cx="4752975" cy="196026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724" t="65707" r="40709" b="14814"/>
                    <a:stretch/>
                  </pic:blipFill>
                  <pic:spPr bwMode="auto">
                    <a:xfrm>
                      <a:off x="0" y="0"/>
                      <a:ext cx="4763826" cy="196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D50" w:rsidRDefault="00FB2C6C">
      <w:r>
        <w:lastRenderedPageBreak/>
        <w:t xml:space="preserve">When taking the A/B ratio versus glutathione, you arrive at a standard curve that can be used to ascertain the amount of Glutathione.  Glutathione can be used as a way to determine the level of cellular oxidative stress.  </w:t>
      </w:r>
    </w:p>
    <w:p w:rsidR="00D31D50" w:rsidRDefault="00D31D50">
      <w:r>
        <w:rPr>
          <w:noProof/>
        </w:rPr>
        <w:drawing>
          <wp:inline distT="0" distB="0" distL="0" distR="0" wp14:anchorId="6827049B" wp14:editId="6F638548">
            <wp:extent cx="3886200" cy="2537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410" t="42166" r="29808" b="12819"/>
                    <a:stretch/>
                  </pic:blipFill>
                  <pic:spPr bwMode="auto">
                    <a:xfrm>
                      <a:off x="0" y="0"/>
                      <a:ext cx="3886200" cy="253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D50" w:rsidRDefault="00D31D50"/>
    <w:p w:rsidR="00D31D50" w:rsidRDefault="00D31D50"/>
    <w:sectPr w:rsidR="00D3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275AA4"/>
    <w:rsid w:val="008A7D76"/>
    <w:rsid w:val="00B66899"/>
    <w:rsid w:val="00CB6626"/>
    <w:rsid w:val="00D31D50"/>
    <w:rsid w:val="00D65710"/>
    <w:rsid w:val="00F467D8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83ECA-0FC7-B141-A58E-73236425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Erin Kovach</cp:lastModifiedBy>
  <cp:revision>2</cp:revision>
  <dcterms:created xsi:type="dcterms:W3CDTF">2018-10-27T19:36:00Z</dcterms:created>
  <dcterms:modified xsi:type="dcterms:W3CDTF">2018-10-27T19:36:00Z</dcterms:modified>
</cp:coreProperties>
</file>