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Fonts w:eastAsia="Arial" w:cs="Arial"/>
          <w:b/>
          <w:bCs/>
          <w:color w:val="2E4057"/>
          <w:sz w:val="36"/>
          <w:szCs w:val="36"/>
        </w:rPr>
        <w:t>SCH REPLICATION STUDY</w:t>
      </w:r>
    </w:p>
    <w:p>
      <w:pPr>
        <w:pStyle w:val="Normal"/>
        <w:spacing w:before="0" w:after="80"/>
        <w:rPr/>
      </w:pPr>
      <w:r>
        <w:rPr>
          <w:rFonts w:eastAsia="Arial" w:cs="Arial"/>
          <w:i/>
          <w:iCs/>
          <w:color w:val="555555"/>
          <w:sz w:val="24"/>
          <w:szCs w:val="24"/>
        </w:rPr>
        <w:t>Results Draft — For Team Review</w:t>
      </w:r>
    </w:p>
    <w:p>
      <w:pPr>
        <w:pStyle w:val="Normal"/>
        <w:spacing w:before="0" w:after="240"/>
        <w:rPr/>
      </w:pPr>
      <w:r>
        <w:rPr>
          <w:rFonts w:eastAsia="Arial" w:cs="Arial"/>
          <w:color w:val="888888"/>
          <w:sz w:val="20"/>
          <w:szCs w:val="20"/>
        </w:rPr>
        <w:t>June 2026  |  Variable Systems</w:t>
      </w:r>
    </w:p>
    <w:p>
      <w:pPr>
        <w:pStyle w:val="Normal"/>
        <w:pBdr>
          <w:bottom w:val="single" w:sz="4" w:space="1" w:color="2E4057"/>
        </w:pBdr>
        <w:spacing w:before="120" w:after="120"/>
        <w:rPr/>
      </w:pPr>
      <w:r>
        <w:rPr/>
      </w:r>
    </w:p>
    <w:p>
      <w:pPr>
        <w:pStyle w:val="Heading1"/>
        <w:spacing w:before="320" w:after="160"/>
        <w:rPr/>
      </w:pPr>
      <w:r>
        <w:rPr>
          <w:rFonts w:eastAsia="Arial" w:cs="Arial" w:ascii="Arial" w:hAnsi="Arial"/>
          <w:b/>
          <w:bCs/>
          <w:color w:val="2E4057"/>
          <w:sz w:val="32"/>
          <w:szCs w:val="32"/>
        </w:rPr>
        <w:t>1. Overview</w:t>
      </w:r>
    </w:p>
    <w:p>
      <w:pPr>
        <w:pStyle w:val="Normal"/>
        <w:spacing w:before="120" w:after="120"/>
        <w:jc w:val="left"/>
        <w:rPr/>
      </w:pPr>
      <w:r>
        <w:rPr>
          <w:rFonts w:eastAsia="Arial" w:cs="Arial"/>
          <w:b w:val="false"/>
          <w:bCs w:val="false"/>
          <w:i w:val="false"/>
          <w:iCs w:val="false"/>
          <w:color w:val="000000"/>
          <w:sz w:val="22"/>
          <w:szCs w:val="22"/>
        </w:rPr>
        <w:t>This document reports the results of an independent replication of the rotational coherence staircase originally documented in Paper B. The analysis uses the MaNGA DynPop JAM v2 catalogue (Zhu et al. 2023; Lu et al. 2024), the Firefly MaStar stellar population catalogue (Neumann et al. 2022), and the MaNGA DRP catalogue for structural parameters. The working sample comprises 3,650 galaxies passing quality cuts on JAM model convergence (chi2_dof &lt; 5), redshift (z &gt; 0.01), and primary sample targeting.</w:t>
      </w:r>
    </w:p>
    <w:p>
      <w:pPr>
        <w:pStyle w:val="Normal"/>
        <w:spacing w:before="120" w:after="120"/>
        <w:jc w:val="left"/>
        <w:rPr/>
      </w:pPr>
      <w:r>
        <w:rPr>
          <w:rFonts w:eastAsia="Arial" w:cs="Arial"/>
          <w:b w:val="false"/>
          <w:bCs w:val="false"/>
          <w:i w:val="false"/>
          <w:iCs w:val="false"/>
          <w:color w:val="000000"/>
          <w:sz w:val="22"/>
          <w:szCs w:val="22"/>
        </w:rPr>
        <w:t>The central variable under test is the JAM velocity anisotropy parameter βz, which measures the degree to which stellar orbits are tangentially versus radially organised. This differs fundamentally from the projected spin parameter λR used in Paper B: λR collapses to zero for face-on fast rotators regardless of their true kinematic state, whereas βz is a deprojected quantity that does not carry this inclination ambiguity. The substitution of βz for λR was motivated by the original staircase collapse, which was traced to the incorrect identification of λR = 0 with geometric coherence = 0.</w:t>
      </w:r>
    </w:p>
    <w:p>
      <w:pPr>
        <w:pStyle w:val="Normal"/>
        <w:spacing w:before="120" w:after="120"/>
        <w:jc w:val="left"/>
        <w:rPr/>
      </w:pPr>
      <w:r>
        <w:rPr>
          <w:rFonts w:eastAsia="Arial" w:cs="Arial"/>
          <w:b w:val="false"/>
          <w:bCs w:val="false"/>
          <w:i w:val="false"/>
          <w:iCs w:val="false"/>
          <w:color w:val="000000"/>
          <w:sz w:val="22"/>
          <w:szCs w:val="22"/>
        </w:rPr>
        <w:t>Two mass estimators are used throughout. The JAM NFW cylindrical dynamical mass (log_Mt_Re_cyl) is used for the JAM RAR residual. The Firefly SED photometric stellar mass (PHOTOMETRIC_MASS) is used for the Firefly RAR residual. The Firefly residual is adopted as the primary signal for reasons documented in Sections 3 and 4.</w:t>
      </w:r>
    </w:p>
    <w:p>
      <w:pPr>
        <w:pStyle w:val="Normal"/>
        <w:pBdr>
          <w:bottom w:val="single" w:sz="4" w:space="1" w:color="2E4057"/>
        </w:pBdr>
        <w:spacing w:before="120" w:after="120"/>
        <w:rPr/>
      </w:pPr>
      <w:r>
        <w:rPr/>
      </w:r>
    </w:p>
    <w:p>
      <w:pPr>
        <w:pStyle w:val="Heading1"/>
        <w:spacing w:before="320" w:after="160"/>
        <w:rPr/>
      </w:pPr>
      <w:r>
        <w:rPr>
          <w:rFonts w:eastAsia="Arial" w:cs="Arial" w:ascii="Arial" w:hAnsi="Arial"/>
          <w:b/>
          <w:bCs/>
          <w:color w:val="2E4057"/>
          <w:sz w:val="32"/>
          <w:szCs w:val="32"/>
        </w:rPr>
        <w:t>2. Primary Result: βz and the Firefly RAR Residual</w:t>
      </w:r>
    </w:p>
    <w:p>
      <w:pPr>
        <w:pStyle w:val="Heading2"/>
        <w:spacing w:before="240" w:after="120"/>
        <w:rPr/>
      </w:pPr>
      <w:r>
        <w:rPr>
          <w:rFonts w:eastAsia="Arial" w:cs="Arial" w:ascii="Arial" w:hAnsi="Arial"/>
          <w:b/>
          <w:bCs/>
          <w:color w:val="2E4057"/>
          <w:sz w:val="26"/>
          <w:szCs w:val="26"/>
        </w:rPr>
        <w:t>2.1 The Signal</w:t>
      </w:r>
    </w:p>
    <w:p>
      <w:pPr>
        <w:pStyle w:val="Normal"/>
        <w:spacing w:before="120" w:after="120"/>
        <w:jc w:val="left"/>
        <w:rPr/>
      </w:pPr>
      <w:r>
        <w:rPr>
          <w:rFonts w:eastAsia="Arial" w:cs="Arial"/>
          <w:b w:val="false"/>
          <w:bCs w:val="false"/>
          <w:i w:val="false"/>
          <w:iCs w:val="false"/>
          <w:color w:val="000000"/>
          <w:sz w:val="22"/>
          <w:szCs w:val="22"/>
        </w:rPr>
        <w:t>The Firefly RAR residual — the logarithmic excess of total gravitational acceleration over the baryonic prediction, computed using the photometric stellar mass — shows a statistically significant positive relationship with βz across the full sample and most subsamples. This relationship persists after simultaneously controlling for stellar mass, effective radius, Sersic index, and light-weighted age.</w:t>
      </w:r>
    </w:p>
    <w:p>
      <w:pPr>
        <w:pStyle w:val="Normal"/>
        <w:spacing w:before="120" w:after="120"/>
        <w:jc w:val="left"/>
        <w:rPr/>
      </w:pPr>
      <w:r>
        <w:rPr>
          <w:rFonts w:eastAsia="Arial" w:cs="Arial"/>
          <w:b w:val="false"/>
          <w:bCs w:val="false"/>
          <w:i w:val="false"/>
          <w:iCs w:val="false"/>
          <w:color w:val="000000"/>
          <w:sz w:val="22"/>
          <w:szCs w:val="22"/>
        </w:rPr>
        <w:t>The full-sample partial Spearman correlation, controlling for log_Ms_Re_cyl, log_Re_kpc, nsa_sersic_n, and LW_AGE_1Re, is ρ = +0.128, p = 6.98e-15 (N = 3,643). Adding σe (STELLAR_SIGMA_1RE) to the control set leaves this essentially unchanged: ρ = +0.127, p = 1.38e-14. The signal is not a σe proxy.</w:t>
      </w:r>
    </w:p>
    <w:p>
      <w:pPr>
        <w:pStyle w:val="Heading2"/>
        <w:spacing w:before="240" w:after="120"/>
        <w:rPr/>
      </w:pPr>
      <w:r>
        <w:rPr>
          <w:rFonts w:eastAsia="Arial" w:cs="Arial" w:ascii="Arial" w:hAnsi="Arial"/>
          <w:b/>
          <w:bCs/>
          <w:color w:val="2E4057"/>
          <w:sz w:val="26"/>
          <w:szCs w:val="26"/>
        </w:rPr>
        <w:t>2.2 Scenario Classification</w:t>
      </w:r>
    </w:p>
    <w:p>
      <w:pPr>
        <w:pStyle w:val="Normal"/>
        <w:spacing w:before="120" w:after="120"/>
        <w:jc w:val="left"/>
        <w:rPr/>
      </w:pPr>
      <w:r>
        <w:rPr>
          <w:rFonts w:eastAsia="Arial" w:cs="Arial"/>
          <w:b w:val="false"/>
          <w:bCs w:val="false"/>
          <w:i w:val="false"/>
          <w:iCs w:val="false"/>
          <w:color w:val="000000"/>
          <w:sz w:val="22"/>
          <w:szCs w:val="22"/>
        </w:rPr>
        <w:t>For each subsample, two partial correlations are reported. Column B controls for mass, size, Sersic index, and age. Column C adds σe. Three scenarios are defined based on shared variance between βz and σe and the percentage drop from Col B to Col C.</w:t>
      </w:r>
    </w:p>
    <w:p>
      <w:pPr>
        <w:pStyle w:val="Normal"/>
        <w:spacing w:before="120" w:after="120"/>
        <w:jc w:val="left"/>
        <w:rPr/>
      </w:pPr>
      <w:r>
        <w:rPr>
          <w:rFonts w:eastAsia="Arial" w:cs="Arial"/>
          <w:b w:val="false"/>
          <w:bCs w:val="false"/>
          <w:i w:val="false"/>
          <w:iCs w:val="false"/>
          <w:color w:val="000000"/>
          <w:sz w:val="22"/>
          <w:szCs w:val="22"/>
        </w:rPr>
        <w:t>Scenario A: σe orthogonal to βz; independence supported. Scenario B: shared variance, signal drops substantially with σe inclusion; both specifications must be reported. Scenario C: shared variance, signal robust to σe inclusion; strongest possible result.</w:t>
      </w:r>
    </w:p>
    <w:p>
      <w:pPr>
        <w:pStyle w:val="Normal"/>
        <w:spacing w:before="160" w:after="60"/>
        <w:rPr/>
      </w:pPr>
      <w:r>
        <w:rPr>
          <w:rFonts w:eastAsia="Arial" w:cs="Arial"/>
          <w:b/>
          <w:bCs/>
          <w:sz w:val="20"/>
          <w:szCs w:val="20"/>
        </w:rPr>
        <w:t>Table 1. βz partial correlations against Firefly RAR residual.</w:t>
      </w:r>
    </w:p>
    <w:p>
      <w:pPr>
        <w:pStyle w:val="Normal"/>
        <w:spacing w:before="60" w:after="80"/>
        <w:rPr/>
      </w:pPr>
      <w:r>
        <w:rPr>
          <w:rFonts w:eastAsia="Arial" w:cs="Arial"/>
          <w:i/>
          <w:iCs/>
          <w:color w:val="555555"/>
          <w:sz w:val="17"/>
          <w:szCs w:val="17"/>
        </w:rPr>
        <w:t>B = partial ρ(βz, rar_FF) | Ms, Re, Sersic n, LW age.  C = same + σe.  Scen. = scenario (C = robust, B = report both).  *** p&lt;0.001  ** p&lt;0.01  * p&lt;0.05  ns p≥0.05.</w:t>
      </w:r>
    </w:p>
    <w:tbl>
      <w:tblPr>
        <w:tblW w:w="9360" w:type="dxa"/>
        <w:jc w:val="left"/>
        <w:tblInd w:w="0" w:type="dxa"/>
        <w:tblLayout w:type="fixed"/>
        <w:tblCellMar>
          <w:top w:w="80" w:type="dxa"/>
          <w:left w:w="120" w:type="dxa"/>
          <w:bottom w:w="80" w:type="dxa"/>
          <w:right w:w="120" w:type="dxa"/>
        </w:tblCellMar>
      </w:tblPr>
      <w:tblGrid>
        <w:gridCol w:w="1799"/>
        <w:gridCol w:w="600"/>
        <w:gridCol w:w="1000"/>
        <w:gridCol w:w="1201"/>
        <w:gridCol w:w="699"/>
        <w:gridCol w:w="1001"/>
        <w:gridCol w:w="1200"/>
        <w:gridCol w:w="700"/>
        <w:gridCol w:w="1159"/>
      </w:tblGrid>
      <w:tr>
        <w:trPr>
          <w:tblHeader w:val="true"/>
        </w:trPr>
        <w:tc>
          <w:tcPr>
            <w:tcW w:w="1799" w:type="dxa"/>
            <w:tcBorders>
              <w:top w:val="single" w:sz="2" w:space="0" w:color="CCCCCC"/>
              <w:left w:val="single" w:sz="2" w:space="0" w:color="CCCCCC"/>
              <w:bottom w:val="single" w:sz="2" w:space="0" w:color="CCCCCC"/>
              <w:right w:val="single" w:sz="2" w:space="0" w:color="CCCCCC"/>
            </w:tcBorders>
            <w:shd w:fill="2E4057" w:val="clear"/>
            <w:vAlign w:val="center"/>
          </w:tcPr>
          <w:p>
            <w:pPr>
              <w:pStyle w:val="Normal"/>
              <w:jc w:val="center"/>
              <w:rPr/>
            </w:pPr>
            <w:r>
              <w:rPr>
                <w:rFonts w:eastAsia="Arial" w:cs="Arial"/>
                <w:b/>
                <w:bCs/>
                <w:color w:val="FFFFFF"/>
                <w:sz w:val="18"/>
                <w:szCs w:val="18"/>
              </w:rPr>
              <w:t>Subsample</w:t>
            </w:r>
          </w:p>
        </w:tc>
        <w:tc>
          <w:tcPr>
            <w:tcW w:w="600" w:type="dxa"/>
            <w:tcBorders>
              <w:top w:val="single" w:sz="2" w:space="0" w:color="CCCCCC"/>
              <w:left w:val="single" w:sz="2" w:space="0" w:color="CCCCCC"/>
              <w:bottom w:val="single" w:sz="2" w:space="0" w:color="CCCCCC"/>
              <w:right w:val="single" w:sz="2" w:space="0" w:color="CCCCCC"/>
            </w:tcBorders>
            <w:shd w:fill="2E4057" w:val="clear"/>
            <w:vAlign w:val="center"/>
          </w:tcPr>
          <w:p>
            <w:pPr>
              <w:pStyle w:val="Normal"/>
              <w:jc w:val="center"/>
              <w:rPr/>
            </w:pPr>
            <w:r>
              <w:rPr>
                <w:rFonts w:eastAsia="Arial" w:cs="Arial"/>
                <w:b/>
                <w:bCs/>
                <w:color w:val="FFFFFF"/>
                <w:sz w:val="18"/>
                <w:szCs w:val="18"/>
              </w:rPr>
              <w:t>N</w:t>
            </w:r>
          </w:p>
        </w:tc>
        <w:tc>
          <w:tcPr>
            <w:tcW w:w="1000" w:type="dxa"/>
            <w:tcBorders>
              <w:top w:val="single" w:sz="2" w:space="0" w:color="CCCCCC"/>
              <w:left w:val="single" w:sz="2" w:space="0" w:color="CCCCCC"/>
              <w:bottom w:val="single" w:sz="2" w:space="0" w:color="CCCCCC"/>
              <w:right w:val="single" w:sz="2" w:space="0" w:color="CCCCCC"/>
            </w:tcBorders>
            <w:shd w:fill="2E4057" w:val="clear"/>
            <w:vAlign w:val="center"/>
          </w:tcPr>
          <w:p>
            <w:pPr>
              <w:pStyle w:val="Normal"/>
              <w:jc w:val="center"/>
              <w:rPr/>
            </w:pPr>
            <w:r>
              <w:rPr>
                <w:rFonts w:eastAsia="Arial" w:cs="Arial"/>
                <w:b/>
                <w:bCs/>
                <w:color w:val="FFFFFF"/>
                <w:sz w:val="18"/>
                <w:szCs w:val="18"/>
              </w:rPr>
              <w:t>ρ (B)</w:t>
            </w:r>
          </w:p>
        </w:tc>
        <w:tc>
          <w:tcPr>
            <w:tcW w:w="1201" w:type="dxa"/>
            <w:tcBorders>
              <w:top w:val="single" w:sz="2" w:space="0" w:color="CCCCCC"/>
              <w:left w:val="single" w:sz="2" w:space="0" w:color="CCCCCC"/>
              <w:bottom w:val="single" w:sz="2" w:space="0" w:color="CCCCCC"/>
              <w:right w:val="single" w:sz="2" w:space="0" w:color="CCCCCC"/>
            </w:tcBorders>
            <w:shd w:fill="2E4057" w:val="clear"/>
            <w:vAlign w:val="center"/>
          </w:tcPr>
          <w:p>
            <w:pPr>
              <w:pStyle w:val="Normal"/>
              <w:jc w:val="center"/>
              <w:rPr/>
            </w:pPr>
            <w:r>
              <w:rPr>
                <w:rFonts w:eastAsia="Arial" w:cs="Arial"/>
                <w:b/>
                <w:bCs/>
                <w:color w:val="FFFFFF"/>
                <w:sz w:val="18"/>
                <w:szCs w:val="18"/>
              </w:rPr>
              <w:t>p (B)</w:t>
            </w:r>
          </w:p>
        </w:tc>
        <w:tc>
          <w:tcPr>
            <w:tcW w:w="699" w:type="dxa"/>
            <w:tcBorders>
              <w:top w:val="single" w:sz="2" w:space="0" w:color="CCCCCC"/>
              <w:left w:val="single" w:sz="2" w:space="0" w:color="CCCCCC"/>
              <w:bottom w:val="single" w:sz="2" w:space="0" w:color="CCCCCC"/>
              <w:right w:val="single" w:sz="2" w:space="0" w:color="CCCCCC"/>
            </w:tcBorders>
            <w:shd w:fill="2E4057" w:val="clear"/>
            <w:vAlign w:val="center"/>
          </w:tcPr>
          <w:p>
            <w:pPr>
              <w:pStyle w:val="Normal"/>
              <w:jc w:val="center"/>
              <w:rPr/>
            </w:pPr>
            <w:r>
              <w:rPr>
                <w:rFonts w:eastAsia="Arial" w:cs="Arial"/>
                <w:b/>
                <w:bCs/>
                <w:color w:val="FFFFFF"/>
                <w:sz w:val="18"/>
                <w:szCs w:val="18"/>
              </w:rPr>
              <w:t>sig</w:t>
            </w:r>
          </w:p>
        </w:tc>
        <w:tc>
          <w:tcPr>
            <w:tcW w:w="1001" w:type="dxa"/>
            <w:tcBorders>
              <w:top w:val="single" w:sz="2" w:space="0" w:color="CCCCCC"/>
              <w:left w:val="single" w:sz="2" w:space="0" w:color="CCCCCC"/>
              <w:bottom w:val="single" w:sz="2" w:space="0" w:color="CCCCCC"/>
              <w:right w:val="single" w:sz="2" w:space="0" w:color="CCCCCC"/>
            </w:tcBorders>
            <w:shd w:fill="2E4057" w:val="clear"/>
            <w:vAlign w:val="center"/>
          </w:tcPr>
          <w:p>
            <w:pPr>
              <w:pStyle w:val="Normal"/>
              <w:jc w:val="center"/>
              <w:rPr/>
            </w:pPr>
            <w:r>
              <w:rPr>
                <w:rFonts w:eastAsia="Arial" w:cs="Arial"/>
                <w:b/>
                <w:bCs/>
                <w:color w:val="FFFFFF"/>
                <w:sz w:val="18"/>
                <w:szCs w:val="18"/>
              </w:rPr>
              <w:t>ρ (C)</w:t>
            </w:r>
          </w:p>
        </w:tc>
        <w:tc>
          <w:tcPr>
            <w:tcW w:w="1200" w:type="dxa"/>
            <w:tcBorders>
              <w:top w:val="single" w:sz="2" w:space="0" w:color="CCCCCC"/>
              <w:left w:val="single" w:sz="2" w:space="0" w:color="CCCCCC"/>
              <w:bottom w:val="single" w:sz="2" w:space="0" w:color="CCCCCC"/>
              <w:right w:val="single" w:sz="2" w:space="0" w:color="CCCCCC"/>
            </w:tcBorders>
            <w:shd w:fill="2E4057" w:val="clear"/>
            <w:vAlign w:val="center"/>
          </w:tcPr>
          <w:p>
            <w:pPr>
              <w:pStyle w:val="Normal"/>
              <w:jc w:val="center"/>
              <w:rPr/>
            </w:pPr>
            <w:r>
              <w:rPr>
                <w:rFonts w:eastAsia="Arial" w:cs="Arial"/>
                <w:b/>
                <w:bCs/>
                <w:color w:val="FFFFFF"/>
                <w:sz w:val="18"/>
                <w:szCs w:val="18"/>
              </w:rPr>
              <w:t>p (C)</w:t>
            </w:r>
          </w:p>
        </w:tc>
        <w:tc>
          <w:tcPr>
            <w:tcW w:w="700" w:type="dxa"/>
            <w:tcBorders>
              <w:top w:val="single" w:sz="2" w:space="0" w:color="CCCCCC"/>
              <w:left w:val="single" w:sz="2" w:space="0" w:color="CCCCCC"/>
              <w:bottom w:val="single" w:sz="2" w:space="0" w:color="CCCCCC"/>
              <w:right w:val="single" w:sz="2" w:space="0" w:color="CCCCCC"/>
            </w:tcBorders>
            <w:shd w:fill="2E4057" w:val="clear"/>
            <w:vAlign w:val="center"/>
          </w:tcPr>
          <w:p>
            <w:pPr>
              <w:pStyle w:val="Normal"/>
              <w:jc w:val="center"/>
              <w:rPr/>
            </w:pPr>
            <w:r>
              <w:rPr>
                <w:rFonts w:eastAsia="Arial" w:cs="Arial"/>
                <w:b/>
                <w:bCs/>
                <w:color w:val="FFFFFF"/>
                <w:sz w:val="18"/>
                <w:szCs w:val="18"/>
              </w:rPr>
              <w:t>sig</w:t>
            </w:r>
          </w:p>
        </w:tc>
        <w:tc>
          <w:tcPr>
            <w:tcW w:w="1159" w:type="dxa"/>
            <w:tcBorders>
              <w:top w:val="single" w:sz="2" w:space="0" w:color="CCCCCC"/>
              <w:left w:val="single" w:sz="2" w:space="0" w:color="CCCCCC"/>
              <w:bottom w:val="single" w:sz="2" w:space="0" w:color="CCCCCC"/>
              <w:right w:val="single" w:sz="2" w:space="0" w:color="CCCCCC"/>
            </w:tcBorders>
            <w:shd w:fill="2E4057" w:val="clear"/>
            <w:vAlign w:val="center"/>
          </w:tcPr>
          <w:p>
            <w:pPr>
              <w:pStyle w:val="Normal"/>
              <w:jc w:val="center"/>
              <w:rPr/>
            </w:pPr>
            <w:r>
              <w:rPr>
                <w:rFonts w:eastAsia="Arial" w:cs="Arial"/>
                <w:b/>
                <w:bCs/>
                <w:color w:val="FFFFFF"/>
                <w:sz w:val="18"/>
                <w:szCs w:val="18"/>
              </w:rPr>
              <w:t>Scen.</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i w:val="false"/>
                <w:iCs w:val="false"/>
                <w:color w:val="000000"/>
                <w:sz w:val="18"/>
                <w:szCs w:val="18"/>
              </w:rPr>
              <w:t>Full</w:t>
            </w:r>
          </w:p>
        </w:tc>
        <w:tc>
          <w:tcPr>
            <w:tcW w:w="6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3643</w:t>
            </w:r>
          </w:p>
        </w:tc>
        <w:tc>
          <w:tcPr>
            <w:tcW w:w="10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+0.128</w:t>
            </w:r>
          </w:p>
        </w:tc>
        <w:tc>
          <w:tcPr>
            <w:tcW w:w="120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6.98e-15</w:t>
            </w:r>
          </w:p>
        </w:tc>
        <w:tc>
          <w:tcPr>
            <w:tcW w:w="69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w:t>
            </w:r>
          </w:p>
        </w:tc>
        <w:tc>
          <w:tcPr>
            <w:tcW w:w="100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+0.127</w:t>
            </w:r>
          </w:p>
        </w:tc>
        <w:tc>
          <w:tcPr>
            <w:tcW w:w="12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1.38e-14</w:t>
            </w:r>
          </w:p>
        </w:tc>
        <w:tc>
          <w:tcPr>
            <w:tcW w:w="7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w:t>
            </w:r>
          </w:p>
        </w:tc>
        <w:tc>
          <w:tcPr>
            <w:tcW w:w="115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bCs/>
                <w:i w:val="false"/>
                <w:iCs w:val="false"/>
                <w:color w:val="1A7A4A"/>
                <w:sz w:val="18"/>
                <w:szCs w:val="18"/>
              </w:rPr>
              <w:t>C</w:t>
            </w:r>
          </w:p>
        </w:tc>
      </w:tr>
      <w:tr>
        <w:trPr/>
        <w:tc>
          <w:tcPr>
            <w:tcW w:w="1799"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i w:val="false"/>
                <w:iCs w:val="false"/>
                <w:color w:val="000000"/>
                <w:sz w:val="18"/>
                <w:szCs w:val="18"/>
              </w:rPr>
              <w:t>Fast</w:t>
            </w:r>
          </w:p>
        </w:tc>
        <w:tc>
          <w:tcPr>
            <w:tcW w:w="60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000000"/>
                <w:sz w:val="18"/>
                <w:szCs w:val="18"/>
              </w:rPr>
              <w:t>2829</w:t>
            </w:r>
          </w:p>
        </w:tc>
        <w:tc>
          <w:tcPr>
            <w:tcW w:w="100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000000"/>
                <w:sz w:val="18"/>
                <w:szCs w:val="18"/>
              </w:rPr>
              <w:t>+0.135</w:t>
            </w:r>
          </w:p>
        </w:tc>
        <w:tc>
          <w:tcPr>
            <w:tcW w:w="1201"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000000"/>
                <w:sz w:val="18"/>
                <w:szCs w:val="18"/>
              </w:rPr>
              <w:t>6.67e-13</w:t>
            </w:r>
          </w:p>
        </w:tc>
        <w:tc>
          <w:tcPr>
            <w:tcW w:w="699"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000000"/>
                <w:sz w:val="18"/>
                <w:szCs w:val="18"/>
              </w:rPr>
              <w:t>***</w:t>
            </w:r>
          </w:p>
        </w:tc>
        <w:tc>
          <w:tcPr>
            <w:tcW w:w="1001"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000000"/>
                <w:sz w:val="18"/>
                <w:szCs w:val="18"/>
              </w:rPr>
              <w:t>+0.137</w:t>
            </w:r>
          </w:p>
        </w:tc>
        <w:tc>
          <w:tcPr>
            <w:tcW w:w="120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000000"/>
                <w:sz w:val="18"/>
                <w:szCs w:val="18"/>
              </w:rPr>
              <w:t>2.36e-13</w:t>
            </w:r>
          </w:p>
        </w:tc>
        <w:tc>
          <w:tcPr>
            <w:tcW w:w="70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000000"/>
                <w:sz w:val="18"/>
                <w:szCs w:val="18"/>
              </w:rPr>
              <w:t>***</w:t>
            </w:r>
          </w:p>
        </w:tc>
        <w:tc>
          <w:tcPr>
            <w:tcW w:w="1159"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bCs/>
                <w:i w:val="false"/>
                <w:iCs w:val="false"/>
                <w:color w:val="1A7A4A"/>
                <w:sz w:val="18"/>
                <w:szCs w:val="18"/>
              </w:rPr>
              <w:t>C</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i w:val="false"/>
                <w:iCs w:val="false"/>
                <w:color w:val="000000"/>
                <w:sz w:val="18"/>
                <w:szCs w:val="18"/>
              </w:rPr>
              <w:t>Slow</w:t>
            </w:r>
          </w:p>
        </w:tc>
        <w:tc>
          <w:tcPr>
            <w:tcW w:w="6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814</w:t>
            </w:r>
          </w:p>
        </w:tc>
        <w:tc>
          <w:tcPr>
            <w:tcW w:w="10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+0.122</w:t>
            </w:r>
          </w:p>
        </w:tc>
        <w:tc>
          <w:tcPr>
            <w:tcW w:w="120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4.76e-04</w:t>
            </w:r>
          </w:p>
        </w:tc>
        <w:tc>
          <w:tcPr>
            <w:tcW w:w="69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w:t>
            </w:r>
          </w:p>
        </w:tc>
        <w:tc>
          <w:tcPr>
            <w:tcW w:w="100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+0.063</w:t>
            </w:r>
          </w:p>
        </w:tc>
        <w:tc>
          <w:tcPr>
            <w:tcW w:w="12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7.41e-02</w:t>
            </w:r>
          </w:p>
        </w:tc>
        <w:tc>
          <w:tcPr>
            <w:tcW w:w="7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ns</w:t>
            </w:r>
          </w:p>
        </w:tc>
        <w:tc>
          <w:tcPr>
            <w:tcW w:w="115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bCs/>
                <w:i w:val="false"/>
                <w:iCs w:val="false"/>
                <w:color w:val="C0392B"/>
                <w:sz w:val="18"/>
                <w:szCs w:val="18"/>
              </w:rPr>
              <w:t>B</w:t>
            </w:r>
          </w:p>
        </w:tc>
      </w:tr>
      <w:tr>
        <w:trPr/>
        <w:tc>
          <w:tcPr>
            <w:tcW w:w="1799"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i w:val="false"/>
                <w:iCs w:val="false"/>
                <w:color w:val="000000"/>
                <w:sz w:val="18"/>
                <w:szCs w:val="18"/>
              </w:rPr>
              <w:t>Low</w:t>
            </w:r>
          </w:p>
        </w:tc>
        <w:tc>
          <w:tcPr>
            <w:tcW w:w="60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000000"/>
                <w:sz w:val="18"/>
                <w:szCs w:val="18"/>
              </w:rPr>
              <w:t>1217</w:t>
            </w:r>
          </w:p>
        </w:tc>
        <w:tc>
          <w:tcPr>
            <w:tcW w:w="100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000000"/>
                <w:sz w:val="18"/>
                <w:szCs w:val="18"/>
              </w:rPr>
              <w:t>+0.151</w:t>
            </w:r>
          </w:p>
        </w:tc>
        <w:tc>
          <w:tcPr>
            <w:tcW w:w="1201"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000000"/>
                <w:sz w:val="18"/>
                <w:szCs w:val="18"/>
              </w:rPr>
              <w:t>1.19e-07</w:t>
            </w:r>
          </w:p>
        </w:tc>
        <w:tc>
          <w:tcPr>
            <w:tcW w:w="699"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000000"/>
                <w:sz w:val="18"/>
                <w:szCs w:val="18"/>
              </w:rPr>
              <w:t>***</w:t>
            </w:r>
          </w:p>
        </w:tc>
        <w:tc>
          <w:tcPr>
            <w:tcW w:w="1001"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000000"/>
                <w:sz w:val="18"/>
                <w:szCs w:val="18"/>
              </w:rPr>
              <w:t>+0.158</w:t>
            </w:r>
          </w:p>
        </w:tc>
        <w:tc>
          <w:tcPr>
            <w:tcW w:w="120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000000"/>
                <w:sz w:val="18"/>
                <w:szCs w:val="18"/>
              </w:rPr>
              <w:t>3.09e-08</w:t>
            </w:r>
          </w:p>
        </w:tc>
        <w:tc>
          <w:tcPr>
            <w:tcW w:w="70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000000"/>
                <w:sz w:val="18"/>
                <w:szCs w:val="18"/>
              </w:rPr>
              <w:t>***</w:t>
            </w:r>
          </w:p>
        </w:tc>
        <w:tc>
          <w:tcPr>
            <w:tcW w:w="1159"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bCs/>
                <w:i w:val="false"/>
                <w:iCs w:val="false"/>
                <w:color w:val="1A7A4A"/>
                <w:sz w:val="18"/>
                <w:szCs w:val="18"/>
              </w:rPr>
              <w:t>C</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i w:val="false"/>
                <w:iCs w:val="false"/>
                <w:color w:val="000000"/>
                <w:sz w:val="18"/>
                <w:szCs w:val="18"/>
              </w:rPr>
              <w:t>Mid</w:t>
            </w:r>
          </w:p>
        </w:tc>
        <w:tc>
          <w:tcPr>
            <w:tcW w:w="6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1210</w:t>
            </w:r>
          </w:p>
        </w:tc>
        <w:tc>
          <w:tcPr>
            <w:tcW w:w="10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+0.154</w:t>
            </w:r>
          </w:p>
        </w:tc>
        <w:tc>
          <w:tcPr>
            <w:tcW w:w="120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7.29e-08</w:t>
            </w:r>
          </w:p>
        </w:tc>
        <w:tc>
          <w:tcPr>
            <w:tcW w:w="69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w:t>
            </w:r>
          </w:p>
        </w:tc>
        <w:tc>
          <w:tcPr>
            <w:tcW w:w="100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+0.152</w:t>
            </w:r>
          </w:p>
        </w:tc>
        <w:tc>
          <w:tcPr>
            <w:tcW w:w="12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1.01e-07</w:t>
            </w:r>
          </w:p>
        </w:tc>
        <w:tc>
          <w:tcPr>
            <w:tcW w:w="7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w:t>
            </w:r>
          </w:p>
        </w:tc>
        <w:tc>
          <w:tcPr>
            <w:tcW w:w="115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bCs/>
                <w:i w:val="false"/>
                <w:iCs w:val="false"/>
                <w:color w:val="1A7A4A"/>
                <w:sz w:val="18"/>
                <w:szCs w:val="18"/>
              </w:rPr>
              <w:t>C</w:t>
            </w:r>
          </w:p>
        </w:tc>
      </w:tr>
      <w:tr>
        <w:trPr/>
        <w:tc>
          <w:tcPr>
            <w:tcW w:w="1799"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i w:val="false"/>
                <w:iCs w:val="false"/>
                <w:color w:val="000000"/>
                <w:sz w:val="18"/>
                <w:szCs w:val="18"/>
              </w:rPr>
              <w:t>High</w:t>
            </w:r>
          </w:p>
        </w:tc>
        <w:tc>
          <w:tcPr>
            <w:tcW w:w="60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000000"/>
                <w:sz w:val="18"/>
                <w:szCs w:val="18"/>
              </w:rPr>
              <w:t>1216</w:t>
            </w:r>
          </w:p>
        </w:tc>
        <w:tc>
          <w:tcPr>
            <w:tcW w:w="100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000000"/>
                <w:sz w:val="18"/>
                <w:szCs w:val="18"/>
              </w:rPr>
              <w:t>+0.116</w:t>
            </w:r>
          </w:p>
        </w:tc>
        <w:tc>
          <w:tcPr>
            <w:tcW w:w="1201"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000000"/>
                <w:sz w:val="18"/>
                <w:szCs w:val="18"/>
              </w:rPr>
              <w:t>4.88e-05</w:t>
            </w:r>
          </w:p>
        </w:tc>
        <w:tc>
          <w:tcPr>
            <w:tcW w:w="699"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000000"/>
                <w:sz w:val="18"/>
                <w:szCs w:val="18"/>
              </w:rPr>
              <w:t>***</w:t>
            </w:r>
          </w:p>
        </w:tc>
        <w:tc>
          <w:tcPr>
            <w:tcW w:w="1001"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000000"/>
                <w:sz w:val="18"/>
                <w:szCs w:val="18"/>
              </w:rPr>
              <w:t>+0.076</w:t>
            </w:r>
          </w:p>
        </w:tc>
        <w:tc>
          <w:tcPr>
            <w:tcW w:w="120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000000"/>
                <w:sz w:val="18"/>
                <w:szCs w:val="18"/>
              </w:rPr>
              <w:t>7.64e-03</w:t>
            </w:r>
          </w:p>
        </w:tc>
        <w:tc>
          <w:tcPr>
            <w:tcW w:w="70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000000"/>
                <w:sz w:val="18"/>
                <w:szCs w:val="18"/>
              </w:rPr>
              <w:t>**</w:t>
            </w:r>
          </w:p>
        </w:tc>
        <w:tc>
          <w:tcPr>
            <w:tcW w:w="1159"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bCs/>
                <w:i w:val="false"/>
                <w:iCs w:val="false"/>
                <w:color w:val="C0392B"/>
                <w:sz w:val="18"/>
                <w:szCs w:val="18"/>
              </w:rPr>
              <w:t>B</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i w:val="false"/>
                <w:iCs w:val="false"/>
                <w:color w:val="000000"/>
                <w:sz w:val="18"/>
                <w:szCs w:val="18"/>
              </w:rPr>
              <w:t>Mid_fast</w:t>
            </w:r>
          </w:p>
        </w:tc>
        <w:tc>
          <w:tcPr>
            <w:tcW w:w="6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1086</w:t>
            </w:r>
          </w:p>
        </w:tc>
        <w:tc>
          <w:tcPr>
            <w:tcW w:w="10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+0.165</w:t>
            </w:r>
          </w:p>
        </w:tc>
        <w:tc>
          <w:tcPr>
            <w:tcW w:w="120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4.64e-08</w:t>
            </w:r>
          </w:p>
        </w:tc>
        <w:tc>
          <w:tcPr>
            <w:tcW w:w="69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w:t>
            </w:r>
          </w:p>
        </w:tc>
        <w:tc>
          <w:tcPr>
            <w:tcW w:w="100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+0.162</w:t>
            </w:r>
          </w:p>
        </w:tc>
        <w:tc>
          <w:tcPr>
            <w:tcW w:w="12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8.28e-08</w:t>
            </w:r>
          </w:p>
        </w:tc>
        <w:tc>
          <w:tcPr>
            <w:tcW w:w="7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w:t>
            </w:r>
          </w:p>
        </w:tc>
        <w:tc>
          <w:tcPr>
            <w:tcW w:w="115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bCs/>
                <w:i w:val="false"/>
                <w:iCs w:val="false"/>
                <w:color w:val="1A7A4A"/>
                <w:sz w:val="18"/>
                <w:szCs w:val="18"/>
              </w:rPr>
              <w:t>C</w:t>
            </w:r>
          </w:p>
        </w:tc>
      </w:tr>
      <w:tr>
        <w:trPr/>
        <w:tc>
          <w:tcPr>
            <w:tcW w:w="1799"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i w:val="false"/>
                <w:iCs w:val="false"/>
                <w:color w:val="000000"/>
                <w:sz w:val="18"/>
                <w:szCs w:val="18"/>
              </w:rPr>
              <w:t>High_slow</w:t>
            </w:r>
          </w:p>
        </w:tc>
        <w:tc>
          <w:tcPr>
            <w:tcW w:w="60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000000"/>
                <w:sz w:val="18"/>
                <w:szCs w:val="18"/>
              </w:rPr>
              <w:t>584</w:t>
            </w:r>
          </w:p>
        </w:tc>
        <w:tc>
          <w:tcPr>
            <w:tcW w:w="100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000000"/>
                <w:sz w:val="18"/>
                <w:szCs w:val="18"/>
              </w:rPr>
              <w:t>+0.122</w:t>
            </w:r>
          </w:p>
        </w:tc>
        <w:tc>
          <w:tcPr>
            <w:tcW w:w="1201"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000000"/>
                <w:sz w:val="18"/>
                <w:szCs w:val="18"/>
              </w:rPr>
              <w:t>3.17e-03</w:t>
            </w:r>
          </w:p>
        </w:tc>
        <w:tc>
          <w:tcPr>
            <w:tcW w:w="699"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000000"/>
                <w:sz w:val="18"/>
                <w:szCs w:val="18"/>
              </w:rPr>
              <w:t>**</w:t>
            </w:r>
          </w:p>
        </w:tc>
        <w:tc>
          <w:tcPr>
            <w:tcW w:w="1001"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000000"/>
                <w:sz w:val="18"/>
                <w:szCs w:val="18"/>
              </w:rPr>
              <w:t>+0.044</w:t>
            </w:r>
          </w:p>
        </w:tc>
        <w:tc>
          <w:tcPr>
            <w:tcW w:w="120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000000"/>
                <w:sz w:val="18"/>
                <w:szCs w:val="18"/>
              </w:rPr>
              <w:t>2.85e-01</w:t>
            </w:r>
          </w:p>
        </w:tc>
        <w:tc>
          <w:tcPr>
            <w:tcW w:w="70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000000"/>
                <w:sz w:val="18"/>
                <w:szCs w:val="18"/>
              </w:rPr>
              <w:t>ns</w:t>
            </w:r>
          </w:p>
        </w:tc>
        <w:tc>
          <w:tcPr>
            <w:tcW w:w="1159"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bCs/>
                <w:i w:val="false"/>
                <w:iCs w:val="false"/>
                <w:color w:val="C0392B"/>
                <w:sz w:val="18"/>
                <w:szCs w:val="18"/>
              </w:rPr>
              <w:t>B</w:t>
            </w:r>
          </w:p>
        </w:tc>
      </w:tr>
    </w:tbl>
    <w:p>
      <w:pPr>
        <w:pStyle w:val="Normal"/>
        <w:spacing w:before="120" w:after="120"/>
        <w:jc w:val="left"/>
        <w:rPr/>
      </w:pPr>
      <w:r>
        <w:rPr/>
      </w:r>
    </w:p>
    <w:p>
      <w:pPr>
        <w:pStyle w:val="Normal"/>
        <w:spacing w:before="120" w:after="120"/>
        <w:jc w:val="left"/>
        <w:rPr/>
      </w:pPr>
      <w:r>
        <w:rPr>
          <w:rFonts w:eastAsia="Arial" w:cs="Arial"/>
          <w:b/>
          <w:bCs/>
          <w:i w:val="false"/>
          <w:iCs w:val="false"/>
          <w:color w:val="000000"/>
          <w:sz w:val="22"/>
          <w:szCs w:val="22"/>
        </w:rPr>
        <w:t>Key findings:</w:t>
      </w:r>
    </w:p>
    <w:p>
      <w:pPr>
        <w:pStyle w:val="ListParagraph"/>
        <w:numPr>
          <w:ilvl w:val="0"/>
          <w:numId w:val="3"/>
        </w:numPr>
        <w:spacing w:before="80" w:after="80"/>
        <w:rPr/>
      </w:pPr>
      <w:r>
        <w:rPr>
          <w:rFonts w:eastAsia="Arial" w:cs="Arial"/>
          <w:sz w:val="22"/>
          <w:szCs w:val="22"/>
        </w:rPr>
        <w:t>Full sample and fast rotators (Scenario C). The βz signal survives all controls including σe. It is not a kinematic dispersion proxy. This is the primary result.</w:t>
      </w:r>
    </w:p>
    <w:p>
      <w:pPr>
        <w:pStyle w:val="ListParagraph"/>
        <w:numPr>
          <w:ilvl w:val="0"/>
          <w:numId w:val="1"/>
        </w:numPr>
        <w:spacing w:before="80" w:after="80"/>
        <w:rPr/>
      </w:pPr>
      <w:r>
        <w:rPr>
          <w:rFonts w:eastAsia="Arial" w:cs="Arial"/>
          <w:sz w:val="22"/>
          <w:szCs w:val="22"/>
        </w:rPr>
        <w:t>Low, Mid, and Mid_fast mass subsamples (Scenario C). Signal is consistent and robust across the mass distribution where the fast rotator population dominates.</w:t>
      </w:r>
    </w:p>
    <w:p>
      <w:pPr>
        <w:pStyle w:val="ListParagraph"/>
        <w:numPr>
          <w:ilvl w:val="0"/>
          <w:numId w:val="1"/>
        </w:numPr>
        <w:spacing w:before="80" w:after="80"/>
        <w:rPr/>
      </w:pPr>
      <w:r>
        <w:rPr>
          <w:rFonts w:eastAsia="Arial" w:cs="Arial"/>
          <w:sz w:val="22"/>
          <w:szCs w:val="22"/>
        </w:rPr>
        <w:t>Slow rotators overall and High_slow (Scenario B). In pressure-dominated systems, βz and σe share enough variance that they cannot be cleanly separated. Both specifications are reported. The Col B signal (rho = +0.122, p &lt; 0.001) is present but does not survive σe inclusion.</w:t>
      </w:r>
    </w:p>
    <w:p>
      <w:pPr>
        <w:pStyle w:val="ListParagraph"/>
        <w:numPr>
          <w:ilvl w:val="0"/>
          <w:numId w:val="1"/>
        </w:numPr>
        <w:spacing w:before="80" w:after="80"/>
        <w:rPr/>
      </w:pPr>
      <w:r>
        <w:rPr>
          <w:rFonts w:eastAsia="Arial" w:cs="Arial"/>
          <w:sz w:val="22"/>
          <w:szCs w:val="22"/>
        </w:rPr>
        <w:t>The Scenario B result in slow rotators is physically interpretable. In maximally pressure-dominated systems, velocity anisotropy (βz) and dispersion magnitude (σe) encode overlapping aspects of the same dynamical state. The separation that exists in fast rotators does not exist here.</w:t>
      </w:r>
    </w:p>
    <w:p>
      <w:pPr>
        <w:pStyle w:val="Normal"/>
        <w:pBdr>
          <w:bottom w:val="single" w:sz="4" w:space="1" w:color="2E4057"/>
        </w:pBdr>
        <w:spacing w:before="120" w:after="120"/>
        <w:rPr/>
      </w:pPr>
      <w:r>
        <w:rPr/>
      </w:r>
    </w:p>
    <w:p>
      <w:pPr>
        <w:pStyle w:val="Heading1"/>
        <w:spacing w:before="320" w:after="160"/>
        <w:rPr/>
      </w:pPr>
      <w:r>
        <w:rPr>
          <w:rFonts w:eastAsia="Arial" w:cs="Arial" w:ascii="Arial" w:hAnsi="Arial"/>
          <w:b/>
          <w:bCs/>
          <w:color w:val="2E4057"/>
          <w:sz w:val="32"/>
          <w:szCs w:val="32"/>
        </w:rPr>
        <w:t>3. Methodological Finding: The Inclination–σe Chain</w:t>
      </w:r>
    </w:p>
    <w:p>
      <w:pPr>
        <w:pStyle w:val="Heading2"/>
        <w:spacing w:before="240" w:after="120"/>
        <w:rPr/>
      </w:pPr>
      <w:r>
        <w:rPr>
          <w:rFonts w:eastAsia="Arial" w:cs="Arial" w:ascii="Arial" w:hAnsi="Arial"/>
          <w:b/>
          <w:bCs/>
          <w:color w:val="2E4057"/>
          <w:sz w:val="26"/>
          <w:szCs w:val="26"/>
        </w:rPr>
        <w:t>3.1 Discovery</w:t>
      </w:r>
    </w:p>
    <w:p>
      <w:pPr>
        <w:pStyle w:val="Normal"/>
        <w:spacing w:before="120" w:after="120"/>
        <w:jc w:val="left"/>
        <w:rPr/>
      </w:pPr>
      <w:r>
        <w:rPr>
          <w:rFonts w:eastAsia="Arial" w:cs="Arial"/>
          <w:b w:val="false"/>
          <w:bCs w:val="false"/>
          <w:i w:val="false"/>
          <w:iCs w:val="false"/>
          <w:color w:val="000000"/>
          <w:sz w:val="22"/>
          <w:szCs w:val="22"/>
        </w:rPr>
        <w:t>During the joint partial correlation audit, a strong correlation was identified between JAM model inclination (inc_deg_cyl) and the JAM-based RAR residual in slow rotators: ρ = +0.465, p = 5.03e-45. This was not anticipated and required full investigation before the βz analysis could be trusted.</w:t>
      </w:r>
    </w:p>
    <w:p>
      <w:pPr>
        <w:pStyle w:val="Normal"/>
        <w:spacing w:before="120" w:after="120"/>
        <w:jc w:val="left"/>
        <w:rPr/>
      </w:pPr>
      <w:r>
        <w:rPr>
          <w:rFonts w:eastAsia="Arial" w:cs="Arial"/>
          <w:b w:val="false"/>
          <w:bCs w:val="false"/>
          <w:i w:val="false"/>
          <w:iCs w:val="false"/>
          <w:color w:val="000000"/>
          <w:sz w:val="22"/>
          <w:szCs w:val="22"/>
        </w:rPr>
        <w:t>Two hypotheses were evaluated. H1: a JAM mass deprojection artifact, in which inclination uncertainty propagates into the JAM mass estimate and therefore into the JAM RAR residual. H2: a kinematic projection effect, in which the observed velocity dispersion varies with viewing angle, affecting the acceleration estimate regardless of which mass estimator is used.</w:t>
      </w:r>
    </w:p>
    <w:p>
      <w:pPr>
        <w:pStyle w:val="Heading2"/>
        <w:spacing w:before="240" w:after="120"/>
        <w:rPr/>
      </w:pPr>
      <w:r>
        <w:rPr>
          <w:rFonts w:eastAsia="Arial" w:cs="Arial" w:ascii="Arial" w:hAnsi="Arial"/>
          <w:b/>
          <w:bCs/>
          <w:color w:val="2E4057"/>
          <w:sz w:val="26"/>
          <w:szCs w:val="26"/>
        </w:rPr>
        <w:t>3.2 The Re Projection Test</w:t>
      </w:r>
    </w:p>
    <w:p>
      <w:pPr>
        <w:pStyle w:val="Normal"/>
        <w:spacing w:before="120" w:after="120"/>
        <w:jc w:val="left"/>
        <w:rPr/>
      </w:pPr>
      <w:r>
        <w:rPr>
          <w:rFonts w:eastAsia="Arial" w:cs="Arial"/>
          <w:b w:val="false"/>
          <w:bCs w:val="false"/>
          <w:i w:val="false"/>
          <w:iCs w:val="false"/>
          <w:color w:val="000000"/>
          <w:sz w:val="22"/>
          <w:szCs w:val="22"/>
        </w:rPr>
        <w:t>We first tested whether apparent effective radius mediates the inclination-RAR relationship. Face-on galaxies might appear larger, inflating the apparent radius, deflating g_bar, and inflating the RAR residual. This hypothesis was falsified for slow rotators: ρ(inc, Re_kpc) = −0.008, ns. Inclination does not predict apparent size in slow rotators. Controlling for both stellar mass and Re simultaneously caused the inclination partial to increase to +0.226 rather than decrease. Re is not the mediating variable.</w:t>
      </w:r>
    </w:p>
    <w:p>
      <w:pPr>
        <w:pStyle w:val="Heading2"/>
        <w:spacing w:before="240" w:after="120"/>
        <w:rPr/>
      </w:pPr>
      <w:r>
        <w:rPr>
          <w:rFonts w:eastAsia="Arial" w:cs="Arial" w:ascii="Arial" w:hAnsi="Arial"/>
          <w:b/>
          <w:bCs/>
          <w:color w:val="2E4057"/>
          <w:sz w:val="26"/>
          <w:szCs w:val="26"/>
        </w:rPr>
        <w:t>3.3 The σe Mediation Test</w:t>
      </w:r>
    </w:p>
    <w:p>
      <w:pPr>
        <w:pStyle w:val="Normal"/>
        <w:spacing w:before="120" w:after="120"/>
        <w:jc w:val="left"/>
        <w:rPr/>
      </w:pPr>
      <w:r>
        <w:rPr>
          <w:rFonts w:eastAsia="Arial" w:cs="Arial"/>
          <w:b w:val="false"/>
          <w:bCs w:val="false"/>
          <w:i w:val="false"/>
          <w:iCs w:val="false"/>
          <w:color w:val="000000"/>
          <w:sz w:val="22"/>
          <w:szCs w:val="22"/>
        </w:rPr>
        <w:t>We then tested whether observed velocity dispersion mediates the chain. Table 2 presents the four-step mediation test for slow rotators.</w:t>
      </w:r>
    </w:p>
    <w:p>
      <w:pPr>
        <w:pStyle w:val="Normal"/>
        <w:spacing w:before="160" w:after="60"/>
        <w:rPr/>
      </w:pPr>
      <w:r>
        <w:rPr>
          <w:rFonts w:eastAsia="Arial" w:cs="Arial"/>
          <w:b/>
          <w:bCs/>
          <w:sz w:val="20"/>
          <w:szCs w:val="20"/>
        </w:rPr>
        <w:t>Table 2. σe mediation chain for slow rotators (N = 814–815).</w:t>
      </w:r>
    </w:p>
    <w:p>
      <w:pPr>
        <w:pStyle w:val="Normal"/>
        <w:spacing w:before="60" w:after="80"/>
        <w:rPr/>
      </w:pPr>
      <w:r>
        <w:rPr>
          <w:rFonts w:eastAsia="Arial" w:cs="Arial"/>
          <w:i/>
          <w:iCs/>
          <w:color w:val="555555"/>
          <w:sz w:val="17"/>
          <w:szCs w:val="17"/>
        </w:rPr>
        <w:t>All correlations are Spearman rank. Step D controls for log_Ms_Re_cyl and STELLAR_SIGMA_1RE simultaneously. Highlighted row = key result.</w:t>
      </w:r>
    </w:p>
    <w:tbl>
      <w:tblPr>
        <w:tblW w:w="9360" w:type="dxa"/>
        <w:jc w:val="left"/>
        <w:tblInd w:w="0" w:type="dxa"/>
        <w:tblLayout w:type="fixed"/>
        <w:tblCellMar>
          <w:top w:w="80" w:type="dxa"/>
          <w:left w:w="120" w:type="dxa"/>
          <w:bottom w:w="80" w:type="dxa"/>
          <w:right w:w="120" w:type="dxa"/>
        </w:tblCellMar>
      </w:tblPr>
      <w:tblGrid>
        <w:gridCol w:w="2600"/>
        <w:gridCol w:w="600"/>
        <w:gridCol w:w="999"/>
        <w:gridCol w:w="1200"/>
        <w:gridCol w:w="700"/>
        <w:gridCol w:w="3260"/>
      </w:tblGrid>
      <w:tr>
        <w:trPr>
          <w:tblHeader w:val="true"/>
        </w:trPr>
        <w:tc>
          <w:tcPr>
            <w:tcW w:w="2600" w:type="dxa"/>
            <w:tcBorders>
              <w:top w:val="single" w:sz="2" w:space="0" w:color="CCCCCC"/>
              <w:left w:val="single" w:sz="2" w:space="0" w:color="CCCCCC"/>
              <w:bottom w:val="single" w:sz="2" w:space="0" w:color="CCCCCC"/>
              <w:right w:val="single" w:sz="2" w:space="0" w:color="CCCCCC"/>
            </w:tcBorders>
            <w:shd w:fill="2E4057" w:val="clear"/>
            <w:vAlign w:val="center"/>
          </w:tcPr>
          <w:p>
            <w:pPr>
              <w:pStyle w:val="Normal"/>
              <w:jc w:val="center"/>
              <w:rPr/>
            </w:pPr>
            <w:r>
              <w:rPr>
                <w:rFonts w:eastAsia="Arial" w:cs="Arial"/>
                <w:b/>
                <w:bCs/>
                <w:color w:val="FFFFFF"/>
                <w:sz w:val="18"/>
                <w:szCs w:val="18"/>
              </w:rPr>
              <w:t>Step</w:t>
            </w:r>
          </w:p>
        </w:tc>
        <w:tc>
          <w:tcPr>
            <w:tcW w:w="600" w:type="dxa"/>
            <w:tcBorders>
              <w:top w:val="single" w:sz="2" w:space="0" w:color="CCCCCC"/>
              <w:left w:val="single" w:sz="2" w:space="0" w:color="CCCCCC"/>
              <w:bottom w:val="single" w:sz="2" w:space="0" w:color="CCCCCC"/>
              <w:right w:val="single" w:sz="2" w:space="0" w:color="CCCCCC"/>
            </w:tcBorders>
            <w:shd w:fill="2E4057" w:val="clear"/>
            <w:vAlign w:val="center"/>
          </w:tcPr>
          <w:p>
            <w:pPr>
              <w:pStyle w:val="Normal"/>
              <w:jc w:val="center"/>
              <w:rPr/>
            </w:pPr>
            <w:r>
              <w:rPr>
                <w:rFonts w:eastAsia="Arial" w:cs="Arial"/>
                <w:b/>
                <w:bCs/>
                <w:color w:val="FFFFFF"/>
                <w:sz w:val="18"/>
                <w:szCs w:val="18"/>
              </w:rPr>
              <w:t>N</w:t>
            </w:r>
          </w:p>
        </w:tc>
        <w:tc>
          <w:tcPr>
            <w:tcW w:w="999" w:type="dxa"/>
            <w:tcBorders>
              <w:top w:val="single" w:sz="2" w:space="0" w:color="CCCCCC"/>
              <w:left w:val="single" w:sz="2" w:space="0" w:color="CCCCCC"/>
              <w:bottom w:val="single" w:sz="2" w:space="0" w:color="CCCCCC"/>
              <w:right w:val="single" w:sz="2" w:space="0" w:color="CCCCCC"/>
            </w:tcBorders>
            <w:shd w:fill="2E4057" w:val="clear"/>
            <w:vAlign w:val="center"/>
          </w:tcPr>
          <w:p>
            <w:pPr>
              <w:pStyle w:val="Normal"/>
              <w:jc w:val="center"/>
              <w:rPr/>
            </w:pPr>
            <w:r>
              <w:rPr>
                <w:rFonts w:eastAsia="Arial" w:cs="Arial"/>
                <w:b/>
                <w:bCs/>
                <w:color w:val="FFFFFF"/>
                <w:sz w:val="18"/>
                <w:szCs w:val="18"/>
              </w:rPr>
              <w:t>ρ</w:t>
            </w:r>
          </w:p>
        </w:tc>
        <w:tc>
          <w:tcPr>
            <w:tcW w:w="1200" w:type="dxa"/>
            <w:tcBorders>
              <w:top w:val="single" w:sz="2" w:space="0" w:color="CCCCCC"/>
              <w:left w:val="single" w:sz="2" w:space="0" w:color="CCCCCC"/>
              <w:bottom w:val="single" w:sz="2" w:space="0" w:color="CCCCCC"/>
              <w:right w:val="single" w:sz="2" w:space="0" w:color="CCCCCC"/>
            </w:tcBorders>
            <w:shd w:fill="2E4057" w:val="clear"/>
            <w:vAlign w:val="center"/>
          </w:tcPr>
          <w:p>
            <w:pPr>
              <w:pStyle w:val="Normal"/>
              <w:jc w:val="center"/>
              <w:rPr/>
            </w:pPr>
            <w:r>
              <w:rPr>
                <w:rFonts w:eastAsia="Arial" w:cs="Arial"/>
                <w:b/>
                <w:bCs/>
                <w:color w:val="FFFFFF"/>
                <w:sz w:val="18"/>
                <w:szCs w:val="18"/>
              </w:rPr>
              <w:t>p</w:t>
            </w:r>
          </w:p>
        </w:tc>
        <w:tc>
          <w:tcPr>
            <w:tcW w:w="700" w:type="dxa"/>
            <w:tcBorders>
              <w:top w:val="single" w:sz="2" w:space="0" w:color="CCCCCC"/>
              <w:left w:val="single" w:sz="2" w:space="0" w:color="CCCCCC"/>
              <w:bottom w:val="single" w:sz="2" w:space="0" w:color="CCCCCC"/>
              <w:right w:val="single" w:sz="2" w:space="0" w:color="CCCCCC"/>
            </w:tcBorders>
            <w:shd w:fill="2E4057" w:val="clear"/>
            <w:vAlign w:val="center"/>
          </w:tcPr>
          <w:p>
            <w:pPr>
              <w:pStyle w:val="Normal"/>
              <w:jc w:val="center"/>
              <w:rPr/>
            </w:pPr>
            <w:r>
              <w:rPr>
                <w:rFonts w:eastAsia="Arial" w:cs="Arial"/>
                <w:b/>
                <w:bCs/>
                <w:color w:val="FFFFFF"/>
                <w:sz w:val="18"/>
                <w:szCs w:val="18"/>
              </w:rPr>
              <w:t>sig</w:t>
            </w:r>
          </w:p>
        </w:tc>
        <w:tc>
          <w:tcPr>
            <w:tcW w:w="3260" w:type="dxa"/>
            <w:tcBorders>
              <w:top w:val="single" w:sz="2" w:space="0" w:color="CCCCCC"/>
              <w:left w:val="single" w:sz="2" w:space="0" w:color="CCCCCC"/>
              <w:bottom w:val="single" w:sz="2" w:space="0" w:color="CCCCCC"/>
              <w:right w:val="single" w:sz="2" w:space="0" w:color="CCCCCC"/>
            </w:tcBorders>
            <w:shd w:fill="2E4057" w:val="clear"/>
            <w:vAlign w:val="center"/>
          </w:tcPr>
          <w:p>
            <w:pPr>
              <w:pStyle w:val="Normal"/>
              <w:jc w:val="center"/>
              <w:rPr/>
            </w:pPr>
            <w:r>
              <w:rPr>
                <w:rFonts w:eastAsia="Arial" w:cs="Arial"/>
                <w:b/>
                <w:bCs/>
                <w:color w:val="FFFFFF"/>
                <w:sz w:val="18"/>
                <w:szCs w:val="18"/>
              </w:rPr>
              <w:t>Verdict</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i w:val="false"/>
                <w:iCs w:val="false"/>
                <w:color w:val="000000"/>
                <w:sz w:val="18"/>
                <w:szCs w:val="18"/>
              </w:rPr>
              <w:t>A: ρ(inc, σe)</w:t>
            </w:r>
          </w:p>
        </w:tc>
        <w:tc>
          <w:tcPr>
            <w:tcW w:w="6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815</w:t>
            </w:r>
          </w:p>
        </w:tc>
        <w:tc>
          <w:tcPr>
            <w:tcW w:w="99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+0.168</w:t>
            </w:r>
          </w:p>
        </w:tc>
        <w:tc>
          <w:tcPr>
            <w:tcW w:w="12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1.36e-06</w:t>
            </w:r>
          </w:p>
        </w:tc>
        <w:tc>
          <w:tcPr>
            <w:tcW w:w="7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w:t>
            </w:r>
          </w:p>
        </w:tc>
        <w:tc>
          <w:tcPr>
            <w:tcW w:w="326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i w:val="false"/>
                <w:iCs w:val="false"/>
                <w:color w:val="000000"/>
                <w:sz w:val="18"/>
                <w:szCs w:val="18"/>
              </w:rPr>
              <w:t>inc → σe confirmed</w:t>
            </w:r>
          </w:p>
        </w:tc>
      </w:tr>
      <w:tr>
        <w:trPr/>
        <w:tc>
          <w:tcPr>
            <w:tcW w:w="260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i w:val="false"/>
                <w:iCs w:val="false"/>
                <w:color w:val="000000"/>
                <w:sz w:val="18"/>
                <w:szCs w:val="18"/>
              </w:rPr>
              <w:t>B: ρ(σe, rar_FF)</w:t>
            </w:r>
          </w:p>
        </w:tc>
        <w:tc>
          <w:tcPr>
            <w:tcW w:w="60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000000"/>
                <w:sz w:val="18"/>
                <w:szCs w:val="18"/>
              </w:rPr>
              <w:t>814</w:t>
            </w:r>
          </w:p>
        </w:tc>
        <w:tc>
          <w:tcPr>
            <w:tcW w:w="999"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000000"/>
                <w:sz w:val="18"/>
                <w:szCs w:val="18"/>
              </w:rPr>
              <w:t>+0.651</w:t>
            </w:r>
          </w:p>
        </w:tc>
        <w:tc>
          <w:tcPr>
            <w:tcW w:w="120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000000"/>
                <w:sz w:val="18"/>
                <w:szCs w:val="18"/>
              </w:rPr>
              <w:t>3.41e-99</w:t>
            </w:r>
          </w:p>
        </w:tc>
        <w:tc>
          <w:tcPr>
            <w:tcW w:w="70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000000"/>
                <w:sz w:val="18"/>
                <w:szCs w:val="18"/>
              </w:rPr>
              <w:t>***</w:t>
            </w:r>
          </w:p>
        </w:tc>
        <w:tc>
          <w:tcPr>
            <w:tcW w:w="326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i w:val="false"/>
                <w:iCs w:val="false"/>
                <w:color w:val="000000"/>
                <w:sz w:val="18"/>
                <w:szCs w:val="18"/>
              </w:rPr>
              <w:t>σe → RAR residual confirmed</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i w:val="false"/>
                <w:iCs w:val="false"/>
                <w:color w:val="000000"/>
                <w:sz w:val="18"/>
                <w:szCs w:val="18"/>
              </w:rPr>
              <w:t>C: ρ(inc, rar_FF) raw</w:t>
            </w:r>
          </w:p>
        </w:tc>
        <w:tc>
          <w:tcPr>
            <w:tcW w:w="6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814</w:t>
            </w:r>
          </w:p>
        </w:tc>
        <w:tc>
          <w:tcPr>
            <w:tcW w:w="99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+0.150</w:t>
            </w:r>
          </w:p>
        </w:tc>
        <w:tc>
          <w:tcPr>
            <w:tcW w:w="12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1.71e-05</w:t>
            </w:r>
          </w:p>
        </w:tc>
        <w:tc>
          <w:tcPr>
            <w:tcW w:w="7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w:t>
            </w:r>
          </w:p>
        </w:tc>
        <w:tc>
          <w:tcPr>
            <w:tcW w:w="326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i w:val="false"/>
                <w:iCs w:val="false"/>
                <w:color w:val="000000"/>
                <w:sz w:val="18"/>
                <w:szCs w:val="18"/>
              </w:rPr>
              <w:t>inc → RAR apparent</w:t>
            </w:r>
          </w:p>
        </w:tc>
      </w:tr>
      <w:tr>
        <w:trPr/>
        <w:tc>
          <w:tcPr>
            <w:tcW w:w="2600" w:type="dxa"/>
            <w:tcBorders>
              <w:top w:val="single" w:sz="2" w:space="0" w:color="CCCCCC"/>
              <w:left w:val="single" w:sz="2" w:space="0" w:color="CCCCCC"/>
              <w:bottom w:val="single" w:sz="2" w:space="0" w:color="CCCCCC"/>
              <w:right w:val="single" w:sz="2" w:space="0" w:color="CCCCCC"/>
            </w:tcBorders>
            <w:shd w:fill="E8F5E9" w:val="clear"/>
            <w:vAlign w:val="center"/>
          </w:tcPr>
          <w:p>
            <w:pPr>
              <w:pStyle w:val="Normal"/>
              <w:jc w:val="left"/>
              <w:rPr/>
            </w:pPr>
            <w:r>
              <w:rPr>
                <w:rFonts w:eastAsia="Arial" w:cs="Arial"/>
                <w:b w:val="false"/>
                <w:bCs w:val="false"/>
                <w:i w:val="false"/>
                <w:iCs w:val="false"/>
                <w:color w:val="000000"/>
                <w:sz w:val="18"/>
                <w:szCs w:val="18"/>
              </w:rPr>
              <w:t>D: ρ(inc, rar_FF) | Ms, σe</w:t>
            </w:r>
          </w:p>
        </w:tc>
        <w:tc>
          <w:tcPr>
            <w:tcW w:w="600" w:type="dxa"/>
            <w:tcBorders>
              <w:top w:val="single" w:sz="2" w:space="0" w:color="CCCCCC"/>
              <w:left w:val="single" w:sz="2" w:space="0" w:color="CCCCCC"/>
              <w:bottom w:val="single" w:sz="2" w:space="0" w:color="CCCCCC"/>
              <w:right w:val="single" w:sz="2" w:space="0" w:color="CCCCCC"/>
            </w:tcBorders>
            <w:shd w:fill="E8F5E9" w:val="clear"/>
            <w:vAlign w:val="center"/>
          </w:tcPr>
          <w:p>
            <w:pPr>
              <w:pStyle w:val="Normal"/>
              <w:jc w:val="center"/>
              <w:rPr/>
            </w:pPr>
            <w:r>
              <w:rPr>
                <w:rFonts w:eastAsia="Arial" w:cs="Arial"/>
                <w:b w:val="false"/>
                <w:bCs w:val="false"/>
                <w:i w:val="false"/>
                <w:iCs w:val="false"/>
                <w:color w:val="000000"/>
                <w:sz w:val="18"/>
                <w:szCs w:val="18"/>
              </w:rPr>
              <w:t>814</w:t>
            </w:r>
          </w:p>
        </w:tc>
        <w:tc>
          <w:tcPr>
            <w:tcW w:w="999" w:type="dxa"/>
            <w:tcBorders>
              <w:top w:val="single" w:sz="2" w:space="0" w:color="CCCCCC"/>
              <w:left w:val="single" w:sz="2" w:space="0" w:color="CCCCCC"/>
              <w:bottom w:val="single" w:sz="2" w:space="0" w:color="CCCCCC"/>
              <w:right w:val="single" w:sz="2" w:space="0" w:color="CCCCCC"/>
            </w:tcBorders>
            <w:shd w:fill="E8F5E9" w:val="clear"/>
            <w:vAlign w:val="center"/>
          </w:tcPr>
          <w:p>
            <w:pPr>
              <w:pStyle w:val="Normal"/>
              <w:jc w:val="center"/>
              <w:rPr/>
            </w:pPr>
            <w:r>
              <w:rPr>
                <w:rFonts w:eastAsia="Arial" w:cs="Arial"/>
                <w:b w:val="false"/>
                <w:bCs w:val="false"/>
                <w:i w:val="false"/>
                <w:iCs w:val="false"/>
                <w:color w:val="000000"/>
                <w:sz w:val="18"/>
                <w:szCs w:val="18"/>
              </w:rPr>
              <w:t>+0.019</w:t>
            </w:r>
          </w:p>
        </w:tc>
        <w:tc>
          <w:tcPr>
            <w:tcW w:w="1200" w:type="dxa"/>
            <w:tcBorders>
              <w:top w:val="single" w:sz="2" w:space="0" w:color="CCCCCC"/>
              <w:left w:val="single" w:sz="2" w:space="0" w:color="CCCCCC"/>
              <w:bottom w:val="single" w:sz="2" w:space="0" w:color="CCCCCC"/>
              <w:right w:val="single" w:sz="2" w:space="0" w:color="CCCCCC"/>
            </w:tcBorders>
            <w:shd w:fill="E8F5E9" w:val="clear"/>
            <w:vAlign w:val="center"/>
          </w:tcPr>
          <w:p>
            <w:pPr>
              <w:pStyle w:val="Normal"/>
              <w:jc w:val="center"/>
              <w:rPr/>
            </w:pPr>
            <w:r>
              <w:rPr>
                <w:rFonts w:eastAsia="Arial" w:cs="Arial"/>
                <w:b w:val="false"/>
                <w:bCs w:val="false"/>
                <w:i w:val="false"/>
                <w:iCs w:val="false"/>
                <w:color w:val="000000"/>
                <w:sz w:val="18"/>
                <w:szCs w:val="18"/>
              </w:rPr>
              <w:t>5.85e-01</w:t>
            </w:r>
          </w:p>
        </w:tc>
        <w:tc>
          <w:tcPr>
            <w:tcW w:w="700" w:type="dxa"/>
            <w:tcBorders>
              <w:top w:val="single" w:sz="2" w:space="0" w:color="CCCCCC"/>
              <w:left w:val="single" w:sz="2" w:space="0" w:color="CCCCCC"/>
              <w:bottom w:val="single" w:sz="2" w:space="0" w:color="CCCCCC"/>
              <w:right w:val="single" w:sz="2" w:space="0" w:color="CCCCCC"/>
            </w:tcBorders>
            <w:shd w:fill="E8F5E9" w:val="clear"/>
            <w:vAlign w:val="center"/>
          </w:tcPr>
          <w:p>
            <w:pPr>
              <w:pStyle w:val="Normal"/>
              <w:jc w:val="center"/>
              <w:rPr/>
            </w:pPr>
            <w:r>
              <w:rPr>
                <w:rFonts w:eastAsia="Arial" w:cs="Arial"/>
                <w:b w:val="false"/>
                <w:bCs w:val="false"/>
                <w:i w:val="false"/>
                <w:iCs w:val="false"/>
                <w:color w:val="000000"/>
                <w:sz w:val="18"/>
                <w:szCs w:val="18"/>
              </w:rPr>
              <w:t>ns</w:t>
            </w:r>
          </w:p>
        </w:tc>
        <w:tc>
          <w:tcPr>
            <w:tcW w:w="3260" w:type="dxa"/>
            <w:tcBorders>
              <w:top w:val="single" w:sz="2" w:space="0" w:color="CCCCCC"/>
              <w:left w:val="single" w:sz="2" w:space="0" w:color="CCCCCC"/>
              <w:bottom w:val="single" w:sz="2" w:space="0" w:color="CCCCCC"/>
              <w:right w:val="single" w:sz="2" w:space="0" w:color="CCCCCC"/>
            </w:tcBorders>
            <w:shd w:fill="E8F5E9" w:val="clear"/>
            <w:vAlign w:val="center"/>
          </w:tcPr>
          <w:p>
            <w:pPr>
              <w:pStyle w:val="Normal"/>
              <w:jc w:val="left"/>
              <w:rPr/>
            </w:pPr>
            <w:r>
              <w:rPr>
                <w:rFonts w:eastAsia="Arial" w:cs="Arial"/>
                <w:b/>
                <w:bCs/>
                <w:i w:val="false"/>
                <w:iCs w:val="false"/>
                <w:color w:val="1A7A4A"/>
                <w:sz w:val="18"/>
                <w:szCs w:val="18"/>
              </w:rPr>
              <w:t>Fully mediated ✓</w:t>
            </w:r>
          </w:p>
        </w:tc>
      </w:tr>
    </w:tbl>
    <w:p>
      <w:pPr>
        <w:pStyle w:val="Normal"/>
        <w:spacing w:before="120" w:after="120"/>
        <w:jc w:val="left"/>
        <w:rPr/>
      </w:pPr>
      <w:r>
        <w:rPr/>
      </w:r>
    </w:p>
    <w:p>
      <w:pPr>
        <w:pStyle w:val="Normal"/>
        <w:spacing w:before="120" w:after="120"/>
        <w:jc w:val="left"/>
        <w:rPr/>
      </w:pPr>
      <w:r>
        <w:rPr>
          <w:rFonts w:eastAsia="Arial" w:cs="Arial"/>
          <w:b w:val="false"/>
          <w:bCs w:val="false"/>
          <w:i w:val="false"/>
          <w:iCs w:val="false"/>
          <w:color w:val="000000"/>
          <w:sz w:val="22"/>
          <w:szCs w:val="22"/>
        </w:rPr>
        <w:t>Step D collapses to ρ = +0.019, p = 0.585, ns. The inclination-RAR correlation in slow rotators is fully mediated by σe. The mechanism is: edge-on slow rotators present elevated line-of-sight velocity dispersion due to mild oblateness or triaxiality; elevated σe inflates the kinematic acceleration estimate g_obs; the JAM RAR residual tracks inclination through the kinematic channel, not the mass channel.</w:t>
      </w:r>
    </w:p>
    <w:p>
      <w:pPr>
        <w:pStyle w:val="Heading2"/>
        <w:spacing w:before="240" w:after="120"/>
        <w:rPr/>
      </w:pPr>
      <w:r>
        <w:rPr>
          <w:rFonts w:eastAsia="Arial" w:cs="Arial" w:ascii="Arial" w:hAnsi="Arial"/>
          <w:b/>
          <w:bCs/>
          <w:color w:val="2E4057"/>
          <w:sz w:val="26"/>
          <w:szCs w:val="26"/>
        </w:rPr>
        <w:t>3.4 Implications for Estimator Choice</w:t>
      </w:r>
    </w:p>
    <w:p>
      <w:pPr>
        <w:pStyle w:val="Normal"/>
        <w:spacing w:before="120" w:after="120"/>
        <w:jc w:val="left"/>
        <w:rPr/>
      </w:pPr>
      <w:r>
        <w:rPr>
          <w:rFonts w:eastAsia="Arial" w:cs="Arial"/>
          <w:b w:val="false"/>
          <w:bCs w:val="false"/>
          <w:i w:val="false"/>
          <w:iCs w:val="false"/>
          <w:color w:val="000000"/>
          <w:sz w:val="22"/>
          <w:szCs w:val="22"/>
        </w:rPr>
        <w:t>The Firefly RAR residual uses photometric stellar mass and is independent of the JAM kinematic model. Before any controls, ρ(inc, rar_resid_firefly) = +0.006, ns, for the full sample. The inclination-σe chain does not contaminate the Firefly residual at first order. This is the primary reason the Firefly residual is adopted as the main signal.</w:t>
      </w:r>
    </w:p>
    <w:p>
      <w:pPr>
        <w:pStyle w:val="Normal"/>
        <w:pBdr>
          <w:bottom w:val="single" w:sz="4" w:space="1" w:color="2E4057"/>
        </w:pBdr>
        <w:spacing w:before="120" w:after="120"/>
        <w:rPr/>
      </w:pPr>
      <w:r>
        <w:rPr/>
      </w:r>
    </w:p>
    <w:p>
      <w:pPr>
        <w:pStyle w:val="Heading1"/>
        <w:spacing w:before="320" w:after="160"/>
        <w:rPr/>
      </w:pPr>
      <w:r>
        <w:rPr>
          <w:rFonts w:eastAsia="Arial" w:cs="Arial" w:ascii="Arial" w:hAnsi="Arial"/>
          <w:b/>
          <w:bCs/>
          <w:color w:val="2E4057"/>
          <w:sz w:val="32"/>
          <w:szCs w:val="32"/>
        </w:rPr>
        <w:t>4. JAM Residual: Circularity Concern</w:t>
      </w:r>
    </w:p>
    <w:p>
      <w:pPr>
        <w:pStyle w:val="Normal"/>
        <w:spacing w:before="120" w:after="120"/>
        <w:jc w:val="left"/>
        <w:rPr/>
      </w:pPr>
      <w:r>
        <w:rPr>
          <w:rFonts w:eastAsia="Arial" w:cs="Arial"/>
          <w:b w:val="false"/>
          <w:bCs w:val="false"/>
          <w:i w:val="false"/>
          <w:iCs w:val="false"/>
          <w:color w:val="000000"/>
          <w:sz w:val="22"/>
          <w:szCs w:val="22"/>
        </w:rPr>
        <w:t>The JAM model uses βz as an input parameter to fit the velocity ellipsoid. The JAM total mass estimate therefore partially absorbs βz information, and a correlation between βz and the JAM RAR residual could reflect model structure rather than a physical signal.</w:t>
      </w:r>
    </w:p>
    <w:p>
      <w:pPr>
        <w:pStyle w:val="Normal"/>
        <w:spacing w:before="120" w:after="120"/>
        <w:jc w:val="left"/>
        <w:rPr/>
      </w:pPr>
      <w:r>
        <w:rPr>
          <w:rFonts w:eastAsia="Arial" w:cs="Arial"/>
          <w:b w:val="false"/>
          <w:bCs w:val="false"/>
          <w:i w:val="false"/>
          <w:iCs w:val="false"/>
          <w:color w:val="000000"/>
          <w:sz w:val="22"/>
          <w:szCs w:val="22"/>
        </w:rPr>
        <w:t>This concern is supported by the data. The full-sample raw ρ(βz, rar_resid_JAM) = −0.002, rising only to +0.042 after controlling for mass and size. The signal emerges only after partial conditioning, which is inconsistent with a genuine underlying physical effect. In contrast, the Firefly raw ρ(βz, rar_resid_firefly) = +0.219, persisting at +0.128 after joint controls. The Firefly signal is present before and after conditioning. The JAM residual is not used as primary evidence for the βz signal in this analysis.</w:t>
      </w:r>
    </w:p>
    <w:p>
      <w:pPr>
        <w:pStyle w:val="Normal"/>
        <w:pBdr>
          <w:bottom w:val="single" w:sz="4" w:space="1" w:color="2E4057"/>
        </w:pBdr>
        <w:spacing w:before="120" w:after="120"/>
        <w:rPr/>
      </w:pPr>
      <w:r>
        <w:rPr/>
      </w:r>
    </w:p>
    <w:p>
      <w:pPr>
        <w:pStyle w:val="Heading1"/>
        <w:spacing w:before="320" w:after="160"/>
        <w:rPr/>
      </w:pPr>
      <w:r>
        <w:rPr>
          <w:rFonts w:eastAsia="Arial" w:cs="Arial" w:ascii="Arial" w:hAnsi="Arial"/>
          <w:b/>
          <w:bCs/>
          <w:color w:val="2E4057"/>
          <w:sz w:val="32"/>
          <w:szCs w:val="32"/>
        </w:rPr>
        <w:t>5. Inclination Comparison: JAM vs Firefly</w:t>
      </w:r>
    </w:p>
    <w:p>
      <w:pPr>
        <w:pStyle w:val="Normal"/>
        <w:spacing w:before="120" w:after="120"/>
        <w:jc w:val="left"/>
        <w:rPr/>
      </w:pPr>
      <w:r>
        <w:rPr>
          <w:rFonts w:eastAsia="Arial" w:cs="Arial"/>
          <w:b w:val="false"/>
          <w:bCs w:val="false"/>
          <w:i w:val="false"/>
          <w:iCs w:val="false"/>
          <w:color w:val="000000"/>
          <w:sz w:val="22"/>
          <w:szCs w:val="22"/>
        </w:rPr>
        <w:t>Table 3 presents the raw ρ(inc_deg_cyl, rar_resid) comparison across estimators for selected subsamples. The contrast documents the scale of the deprojection artifact and confirms the Firefly result is not a weaker version of the same problem.</w:t>
      </w:r>
    </w:p>
    <w:p>
      <w:pPr>
        <w:pStyle w:val="Normal"/>
        <w:spacing w:before="160" w:after="60"/>
        <w:rPr/>
      </w:pPr>
      <w:r>
        <w:rPr>
          <w:rFonts w:eastAsia="Arial" w:cs="Arial"/>
          <w:b/>
          <w:bCs/>
          <w:sz w:val="20"/>
          <w:szCs w:val="20"/>
        </w:rPr>
        <w:t>Table 3. ρ(inc_deg_cyl, RAR residual): JAM vs Firefly.</w:t>
      </w:r>
    </w:p>
    <w:p>
      <w:pPr>
        <w:pStyle w:val="Normal"/>
        <w:spacing w:before="60" w:after="80"/>
        <w:rPr/>
      </w:pPr>
      <w:r>
        <w:rPr>
          <w:rFonts w:eastAsia="Arial" w:cs="Arial"/>
          <w:i/>
          <w:iCs/>
          <w:color w:val="555555"/>
          <w:sz w:val="17"/>
          <w:szCs w:val="17"/>
        </w:rPr>
        <w:t>Δρ = ρ_FF − ρ_JAM. JAM artifact = correlation large in JAM, near-zero in Firefly. mixed = both estimators elevated. shared = both elevated at similar magnitude, suggesting a mechanism beyond JAM model structure.</w:t>
      </w:r>
    </w:p>
    <w:tbl>
      <w:tblPr>
        <w:tblW w:w="9360" w:type="dxa"/>
        <w:jc w:val="left"/>
        <w:tblInd w:w="0" w:type="dxa"/>
        <w:tblLayout w:type="fixed"/>
        <w:tblCellMar>
          <w:top w:w="80" w:type="dxa"/>
          <w:left w:w="120" w:type="dxa"/>
          <w:bottom w:w="80" w:type="dxa"/>
          <w:right w:w="120" w:type="dxa"/>
        </w:tblCellMar>
      </w:tblPr>
      <w:tblGrid>
        <w:gridCol w:w="1799"/>
        <w:gridCol w:w="740"/>
        <w:gridCol w:w="860"/>
        <w:gridCol w:w="1201"/>
        <w:gridCol w:w="1000"/>
        <w:gridCol w:w="1200"/>
        <w:gridCol w:w="800"/>
        <w:gridCol w:w="1759"/>
      </w:tblGrid>
      <w:tr>
        <w:trPr>
          <w:tblHeader w:val="true"/>
        </w:trPr>
        <w:tc>
          <w:tcPr>
            <w:tcW w:w="1799" w:type="dxa"/>
            <w:tcBorders>
              <w:top w:val="single" w:sz="2" w:space="0" w:color="CCCCCC"/>
              <w:left w:val="single" w:sz="2" w:space="0" w:color="CCCCCC"/>
              <w:bottom w:val="single" w:sz="2" w:space="0" w:color="CCCCCC"/>
              <w:right w:val="single" w:sz="2" w:space="0" w:color="CCCCCC"/>
            </w:tcBorders>
            <w:shd w:fill="2E4057" w:val="clear"/>
            <w:vAlign w:val="center"/>
          </w:tcPr>
          <w:p>
            <w:pPr>
              <w:pStyle w:val="Normal"/>
              <w:jc w:val="center"/>
              <w:rPr/>
            </w:pPr>
            <w:r>
              <w:rPr>
                <w:rFonts w:eastAsia="Arial" w:cs="Arial"/>
                <w:b/>
                <w:bCs/>
                <w:color w:val="FFFFFF"/>
                <w:sz w:val="18"/>
                <w:szCs w:val="18"/>
              </w:rPr>
              <w:t>Subsample</w:t>
            </w:r>
          </w:p>
        </w:tc>
        <w:tc>
          <w:tcPr>
            <w:tcW w:w="740" w:type="dxa"/>
            <w:tcBorders>
              <w:top w:val="single" w:sz="2" w:space="0" w:color="CCCCCC"/>
              <w:left w:val="single" w:sz="2" w:space="0" w:color="CCCCCC"/>
              <w:bottom w:val="single" w:sz="2" w:space="0" w:color="CCCCCC"/>
              <w:right w:val="single" w:sz="2" w:space="0" w:color="CCCCCC"/>
            </w:tcBorders>
            <w:shd w:fill="2E4057" w:val="clear"/>
            <w:vAlign w:val="center"/>
          </w:tcPr>
          <w:p>
            <w:pPr>
              <w:pStyle w:val="Normal"/>
              <w:jc w:val="center"/>
              <w:rPr/>
            </w:pPr>
            <w:r>
              <w:rPr>
                <w:rFonts w:eastAsia="Arial" w:cs="Arial"/>
                <w:b/>
                <w:bCs/>
                <w:color w:val="FFFFFF"/>
                <w:sz w:val="18"/>
                <w:szCs w:val="18"/>
              </w:rPr>
              <w:t>N</w:t>
            </w:r>
          </w:p>
        </w:tc>
        <w:tc>
          <w:tcPr>
            <w:tcW w:w="860" w:type="dxa"/>
            <w:tcBorders>
              <w:top w:val="single" w:sz="2" w:space="0" w:color="CCCCCC"/>
              <w:left w:val="single" w:sz="2" w:space="0" w:color="CCCCCC"/>
              <w:bottom w:val="single" w:sz="2" w:space="0" w:color="CCCCCC"/>
              <w:right w:val="single" w:sz="2" w:space="0" w:color="CCCCCC"/>
            </w:tcBorders>
            <w:shd w:fill="2E4057" w:val="clear"/>
            <w:vAlign w:val="center"/>
          </w:tcPr>
          <w:p>
            <w:pPr>
              <w:pStyle w:val="Normal"/>
              <w:jc w:val="center"/>
              <w:rPr/>
            </w:pPr>
            <w:r>
              <w:rPr>
                <w:rFonts w:eastAsia="Arial" w:cs="Arial"/>
                <w:b/>
                <w:bCs/>
                <w:color w:val="FFFFFF"/>
                <w:sz w:val="18"/>
                <w:szCs w:val="18"/>
              </w:rPr>
              <w:t>ρ JAM</w:t>
            </w:r>
          </w:p>
        </w:tc>
        <w:tc>
          <w:tcPr>
            <w:tcW w:w="1201" w:type="dxa"/>
            <w:tcBorders>
              <w:top w:val="single" w:sz="2" w:space="0" w:color="CCCCCC"/>
              <w:left w:val="single" w:sz="2" w:space="0" w:color="CCCCCC"/>
              <w:bottom w:val="single" w:sz="2" w:space="0" w:color="CCCCCC"/>
              <w:right w:val="single" w:sz="2" w:space="0" w:color="CCCCCC"/>
            </w:tcBorders>
            <w:shd w:fill="2E4057" w:val="clear"/>
            <w:vAlign w:val="center"/>
          </w:tcPr>
          <w:p>
            <w:pPr>
              <w:pStyle w:val="Normal"/>
              <w:jc w:val="center"/>
              <w:rPr/>
            </w:pPr>
            <w:r>
              <w:rPr>
                <w:rFonts w:eastAsia="Arial" w:cs="Arial"/>
                <w:b/>
                <w:bCs/>
                <w:color w:val="FFFFFF"/>
                <w:sz w:val="18"/>
                <w:szCs w:val="18"/>
              </w:rPr>
              <w:t>p JAM</w:t>
            </w:r>
          </w:p>
        </w:tc>
        <w:tc>
          <w:tcPr>
            <w:tcW w:w="1000" w:type="dxa"/>
            <w:tcBorders>
              <w:top w:val="single" w:sz="2" w:space="0" w:color="CCCCCC"/>
              <w:left w:val="single" w:sz="2" w:space="0" w:color="CCCCCC"/>
              <w:bottom w:val="single" w:sz="2" w:space="0" w:color="CCCCCC"/>
              <w:right w:val="single" w:sz="2" w:space="0" w:color="CCCCCC"/>
            </w:tcBorders>
            <w:shd w:fill="2E4057" w:val="clear"/>
            <w:vAlign w:val="center"/>
          </w:tcPr>
          <w:p>
            <w:pPr>
              <w:pStyle w:val="Normal"/>
              <w:jc w:val="center"/>
              <w:rPr/>
            </w:pPr>
            <w:r>
              <w:rPr>
                <w:rFonts w:eastAsia="Arial" w:cs="Arial"/>
                <w:b/>
                <w:bCs/>
                <w:color w:val="FFFFFF"/>
                <w:sz w:val="18"/>
                <w:szCs w:val="18"/>
              </w:rPr>
              <w:t>ρ FF</w:t>
            </w:r>
          </w:p>
        </w:tc>
        <w:tc>
          <w:tcPr>
            <w:tcW w:w="1200" w:type="dxa"/>
            <w:tcBorders>
              <w:top w:val="single" w:sz="2" w:space="0" w:color="CCCCCC"/>
              <w:left w:val="single" w:sz="2" w:space="0" w:color="CCCCCC"/>
              <w:bottom w:val="single" w:sz="2" w:space="0" w:color="CCCCCC"/>
              <w:right w:val="single" w:sz="2" w:space="0" w:color="CCCCCC"/>
            </w:tcBorders>
            <w:shd w:fill="2E4057" w:val="clear"/>
            <w:vAlign w:val="center"/>
          </w:tcPr>
          <w:p>
            <w:pPr>
              <w:pStyle w:val="Normal"/>
              <w:jc w:val="center"/>
              <w:rPr/>
            </w:pPr>
            <w:r>
              <w:rPr>
                <w:rFonts w:eastAsia="Arial" w:cs="Arial"/>
                <w:b/>
                <w:bCs/>
                <w:color w:val="FFFFFF"/>
                <w:sz w:val="18"/>
                <w:szCs w:val="18"/>
              </w:rPr>
              <w:t>p FF</w:t>
            </w:r>
          </w:p>
        </w:tc>
        <w:tc>
          <w:tcPr>
            <w:tcW w:w="800" w:type="dxa"/>
            <w:tcBorders>
              <w:top w:val="single" w:sz="2" w:space="0" w:color="CCCCCC"/>
              <w:left w:val="single" w:sz="2" w:space="0" w:color="CCCCCC"/>
              <w:bottom w:val="single" w:sz="2" w:space="0" w:color="CCCCCC"/>
              <w:right w:val="single" w:sz="2" w:space="0" w:color="CCCCCC"/>
            </w:tcBorders>
            <w:shd w:fill="2E4057" w:val="clear"/>
            <w:vAlign w:val="center"/>
          </w:tcPr>
          <w:p>
            <w:pPr>
              <w:pStyle w:val="Normal"/>
              <w:jc w:val="center"/>
              <w:rPr/>
            </w:pPr>
            <w:r>
              <w:rPr>
                <w:rFonts w:eastAsia="Arial" w:cs="Arial"/>
                <w:b/>
                <w:bCs/>
                <w:color w:val="FFFFFF"/>
                <w:sz w:val="18"/>
                <w:szCs w:val="18"/>
              </w:rPr>
              <w:t>Δρ</w:t>
            </w:r>
          </w:p>
        </w:tc>
        <w:tc>
          <w:tcPr>
            <w:tcW w:w="1759" w:type="dxa"/>
            <w:tcBorders>
              <w:top w:val="single" w:sz="2" w:space="0" w:color="CCCCCC"/>
              <w:left w:val="single" w:sz="2" w:space="0" w:color="CCCCCC"/>
              <w:bottom w:val="single" w:sz="2" w:space="0" w:color="CCCCCC"/>
              <w:right w:val="single" w:sz="2" w:space="0" w:color="CCCCCC"/>
            </w:tcBorders>
            <w:shd w:fill="2E4057" w:val="clear"/>
            <w:vAlign w:val="center"/>
          </w:tcPr>
          <w:p>
            <w:pPr>
              <w:pStyle w:val="Normal"/>
              <w:jc w:val="center"/>
              <w:rPr/>
            </w:pPr>
            <w:r>
              <w:rPr>
                <w:rFonts w:eastAsia="Arial" w:cs="Arial"/>
                <w:b/>
                <w:bCs/>
                <w:color w:val="FFFFFF"/>
                <w:sz w:val="18"/>
                <w:szCs w:val="18"/>
              </w:rPr>
              <w:t>Flag</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i w:val="false"/>
                <w:iCs w:val="false"/>
                <w:color w:val="000000"/>
                <w:sz w:val="18"/>
                <w:szCs w:val="18"/>
              </w:rPr>
              <w:t>Full</w:t>
            </w:r>
          </w:p>
        </w:tc>
        <w:tc>
          <w:tcPr>
            <w:tcW w:w="74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3650</w:t>
            </w:r>
          </w:p>
        </w:tc>
        <w:tc>
          <w:tcPr>
            <w:tcW w:w="86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+0.142</w:t>
            </w:r>
          </w:p>
        </w:tc>
        <w:tc>
          <w:tcPr>
            <w:tcW w:w="120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6.26e-18</w:t>
            </w:r>
          </w:p>
        </w:tc>
        <w:tc>
          <w:tcPr>
            <w:tcW w:w="10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+0.006</w:t>
            </w:r>
          </w:p>
        </w:tc>
        <w:tc>
          <w:tcPr>
            <w:tcW w:w="12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6.95e-01</w:t>
            </w:r>
          </w:p>
        </w:tc>
        <w:tc>
          <w:tcPr>
            <w:tcW w:w="8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C0392B"/>
                <w:sz w:val="18"/>
                <w:szCs w:val="18"/>
              </w:rPr>
              <w:t>−</w:t>
            </w:r>
            <w:r>
              <w:rPr>
                <w:rFonts w:eastAsia="Arial" w:cs="Arial"/>
                <w:b w:val="false"/>
                <w:bCs w:val="false"/>
                <w:i w:val="false"/>
                <w:iCs w:val="false"/>
                <w:color w:val="C0392B"/>
                <w:sz w:val="18"/>
                <w:szCs w:val="18"/>
              </w:rPr>
              <w:t>0.136</w:t>
            </w:r>
          </w:p>
        </w:tc>
        <w:tc>
          <w:tcPr>
            <w:tcW w:w="175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JAM artifact</w:t>
            </w:r>
          </w:p>
        </w:tc>
      </w:tr>
      <w:tr>
        <w:trPr/>
        <w:tc>
          <w:tcPr>
            <w:tcW w:w="1799"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i w:val="false"/>
                <w:iCs w:val="false"/>
                <w:color w:val="000000"/>
                <w:sz w:val="18"/>
                <w:szCs w:val="18"/>
              </w:rPr>
              <w:t>Fast</w:t>
            </w:r>
          </w:p>
        </w:tc>
        <w:tc>
          <w:tcPr>
            <w:tcW w:w="74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000000"/>
                <w:sz w:val="18"/>
                <w:szCs w:val="18"/>
              </w:rPr>
              <w:t>2835</w:t>
            </w:r>
          </w:p>
        </w:tc>
        <w:tc>
          <w:tcPr>
            <w:tcW w:w="86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000000"/>
                <w:sz w:val="18"/>
                <w:szCs w:val="18"/>
              </w:rPr>
              <w:t>+0.130</w:t>
            </w:r>
          </w:p>
        </w:tc>
        <w:tc>
          <w:tcPr>
            <w:tcW w:w="1201"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000000"/>
                <w:sz w:val="18"/>
                <w:szCs w:val="18"/>
              </w:rPr>
              <w:t>3.30e-12</w:t>
            </w:r>
          </w:p>
        </w:tc>
        <w:tc>
          <w:tcPr>
            <w:tcW w:w="100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000000"/>
                <w:sz w:val="18"/>
                <w:szCs w:val="18"/>
              </w:rPr>
              <w:t>+0.051</w:t>
            </w:r>
          </w:p>
        </w:tc>
        <w:tc>
          <w:tcPr>
            <w:tcW w:w="120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000000"/>
                <w:sz w:val="18"/>
                <w:szCs w:val="18"/>
              </w:rPr>
              <w:t>6.64e-03</w:t>
            </w:r>
          </w:p>
        </w:tc>
        <w:tc>
          <w:tcPr>
            <w:tcW w:w="80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C0392B"/>
                <w:sz w:val="18"/>
                <w:szCs w:val="18"/>
              </w:rPr>
              <w:t>−</w:t>
            </w:r>
            <w:r>
              <w:rPr>
                <w:rFonts w:eastAsia="Arial" w:cs="Arial"/>
                <w:b w:val="false"/>
                <w:bCs w:val="false"/>
                <w:i w:val="false"/>
                <w:iCs w:val="false"/>
                <w:color w:val="C0392B"/>
                <w:sz w:val="18"/>
                <w:szCs w:val="18"/>
              </w:rPr>
              <w:t>0.079</w:t>
            </w:r>
          </w:p>
        </w:tc>
        <w:tc>
          <w:tcPr>
            <w:tcW w:w="1759"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000000"/>
                <w:sz w:val="18"/>
                <w:szCs w:val="18"/>
              </w:rPr>
              <w:t>mixed</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i w:val="false"/>
                <w:iCs w:val="false"/>
                <w:color w:val="000000"/>
                <w:sz w:val="18"/>
                <w:szCs w:val="18"/>
              </w:rPr>
              <w:t>Slow</w:t>
            </w:r>
          </w:p>
        </w:tc>
        <w:tc>
          <w:tcPr>
            <w:tcW w:w="74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815</w:t>
            </w:r>
          </w:p>
        </w:tc>
        <w:tc>
          <w:tcPr>
            <w:tcW w:w="86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+0.465</w:t>
            </w:r>
          </w:p>
        </w:tc>
        <w:tc>
          <w:tcPr>
            <w:tcW w:w="120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5.03e-45</w:t>
            </w:r>
          </w:p>
        </w:tc>
        <w:tc>
          <w:tcPr>
            <w:tcW w:w="10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+0.150</w:t>
            </w:r>
          </w:p>
        </w:tc>
        <w:tc>
          <w:tcPr>
            <w:tcW w:w="12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1.71e-05</w:t>
            </w:r>
          </w:p>
        </w:tc>
        <w:tc>
          <w:tcPr>
            <w:tcW w:w="8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C0392B"/>
                <w:sz w:val="18"/>
                <w:szCs w:val="18"/>
              </w:rPr>
              <w:t>−</w:t>
            </w:r>
            <w:r>
              <w:rPr>
                <w:rFonts w:eastAsia="Arial" w:cs="Arial"/>
                <w:b w:val="false"/>
                <w:bCs w:val="false"/>
                <w:i w:val="false"/>
                <w:iCs w:val="false"/>
                <w:color w:val="C0392B"/>
                <w:sz w:val="18"/>
                <w:szCs w:val="18"/>
              </w:rPr>
              <w:t>0.315</w:t>
            </w:r>
          </w:p>
        </w:tc>
        <w:tc>
          <w:tcPr>
            <w:tcW w:w="175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mixed</w:t>
            </w:r>
          </w:p>
        </w:tc>
      </w:tr>
      <w:tr>
        <w:trPr/>
        <w:tc>
          <w:tcPr>
            <w:tcW w:w="1799"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left"/>
              <w:rPr/>
            </w:pPr>
            <w:r>
              <w:rPr>
                <w:rFonts w:eastAsia="Arial" w:cs="Arial"/>
                <w:b w:val="false"/>
                <w:bCs w:val="false"/>
                <w:i w:val="false"/>
                <w:iCs w:val="false"/>
                <w:color w:val="000000"/>
                <w:sz w:val="18"/>
                <w:szCs w:val="18"/>
              </w:rPr>
              <w:t>Mid_slow</w:t>
            </w:r>
          </w:p>
        </w:tc>
        <w:tc>
          <w:tcPr>
            <w:tcW w:w="74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000000"/>
                <w:sz w:val="18"/>
                <w:szCs w:val="18"/>
              </w:rPr>
              <w:t>124</w:t>
            </w:r>
          </w:p>
        </w:tc>
        <w:tc>
          <w:tcPr>
            <w:tcW w:w="86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000000"/>
                <w:sz w:val="18"/>
                <w:szCs w:val="18"/>
              </w:rPr>
              <w:t>+0.361</w:t>
            </w:r>
          </w:p>
        </w:tc>
        <w:tc>
          <w:tcPr>
            <w:tcW w:w="1201"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000000"/>
                <w:sz w:val="18"/>
                <w:szCs w:val="18"/>
              </w:rPr>
              <w:t>3.82e-05</w:t>
            </w:r>
          </w:p>
        </w:tc>
        <w:tc>
          <w:tcPr>
            <w:tcW w:w="100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000000"/>
                <w:sz w:val="18"/>
                <w:szCs w:val="18"/>
              </w:rPr>
              <w:t>+0.309</w:t>
            </w:r>
          </w:p>
        </w:tc>
        <w:tc>
          <w:tcPr>
            <w:tcW w:w="120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000000"/>
                <w:sz w:val="18"/>
                <w:szCs w:val="18"/>
              </w:rPr>
              <w:t>4.78e-04</w:t>
            </w:r>
          </w:p>
        </w:tc>
        <w:tc>
          <w:tcPr>
            <w:tcW w:w="800"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C0392B"/>
                <w:sz w:val="18"/>
                <w:szCs w:val="18"/>
              </w:rPr>
              <w:t>−</w:t>
            </w:r>
            <w:r>
              <w:rPr>
                <w:rFonts w:eastAsia="Arial" w:cs="Arial"/>
                <w:b w:val="false"/>
                <w:bCs w:val="false"/>
                <w:i w:val="false"/>
                <w:iCs w:val="false"/>
                <w:color w:val="C0392B"/>
                <w:sz w:val="18"/>
                <w:szCs w:val="18"/>
              </w:rPr>
              <w:t>0.052</w:t>
            </w:r>
          </w:p>
        </w:tc>
        <w:tc>
          <w:tcPr>
            <w:tcW w:w="1759" w:type="dxa"/>
            <w:tcBorders>
              <w:top w:val="single" w:sz="2" w:space="0" w:color="CCCCCC"/>
              <w:left w:val="single" w:sz="2" w:space="0" w:color="CCCCCC"/>
              <w:bottom w:val="single" w:sz="2" w:space="0" w:color="CCCCCC"/>
              <w:right w:val="single" w:sz="2" w:space="0" w:color="CCCCCC"/>
            </w:tcBorders>
            <w:shd w:fill="F5F7FA" w:val="clear"/>
            <w:vAlign w:val="center"/>
          </w:tcPr>
          <w:p>
            <w:pPr>
              <w:pStyle w:val="Normal"/>
              <w:jc w:val="center"/>
              <w:rPr/>
            </w:pPr>
            <w:r>
              <w:rPr>
                <w:rFonts w:eastAsia="Arial" w:cs="Arial"/>
                <w:b w:val="false"/>
                <w:bCs w:val="false"/>
                <w:i w:val="false"/>
                <w:iCs w:val="false"/>
                <w:color w:val="000000"/>
                <w:sz w:val="18"/>
                <w:szCs w:val="18"/>
              </w:rPr>
              <w:t>shared</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Arial" w:cs="Arial"/>
                <w:b w:val="false"/>
                <w:bCs w:val="false"/>
                <w:i w:val="false"/>
                <w:iCs w:val="false"/>
                <w:color w:val="000000"/>
                <w:sz w:val="18"/>
                <w:szCs w:val="18"/>
              </w:rPr>
              <w:t>High_slow</w:t>
            </w:r>
          </w:p>
        </w:tc>
        <w:tc>
          <w:tcPr>
            <w:tcW w:w="74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585</w:t>
            </w:r>
          </w:p>
        </w:tc>
        <w:tc>
          <w:tcPr>
            <w:tcW w:w="86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+0.472</w:t>
            </w:r>
          </w:p>
        </w:tc>
        <w:tc>
          <w:tcPr>
            <w:tcW w:w="120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7.30e-34</w:t>
            </w:r>
          </w:p>
        </w:tc>
        <w:tc>
          <w:tcPr>
            <w:tcW w:w="10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+0.133</w:t>
            </w:r>
          </w:p>
        </w:tc>
        <w:tc>
          <w:tcPr>
            <w:tcW w:w="12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1.27e-03</w:t>
            </w:r>
          </w:p>
        </w:tc>
        <w:tc>
          <w:tcPr>
            <w:tcW w:w="8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C0392B"/>
                <w:sz w:val="18"/>
                <w:szCs w:val="18"/>
              </w:rPr>
              <w:t>−</w:t>
            </w:r>
            <w:r>
              <w:rPr>
                <w:rFonts w:eastAsia="Arial" w:cs="Arial"/>
                <w:b w:val="false"/>
                <w:bCs w:val="false"/>
                <w:i w:val="false"/>
                <w:iCs w:val="false"/>
                <w:color w:val="C0392B"/>
                <w:sz w:val="18"/>
                <w:szCs w:val="18"/>
              </w:rPr>
              <w:t>0.339</w:t>
            </w:r>
          </w:p>
        </w:tc>
        <w:tc>
          <w:tcPr>
            <w:tcW w:w="175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JAM artifact</w:t>
            </w:r>
          </w:p>
        </w:tc>
      </w:tr>
    </w:tbl>
    <w:p>
      <w:pPr>
        <w:pStyle w:val="Normal"/>
        <w:spacing w:before="120" w:after="120"/>
        <w:jc w:val="left"/>
        <w:rPr/>
      </w:pPr>
      <w:r>
        <w:rPr/>
      </w:r>
    </w:p>
    <w:p>
      <w:pPr>
        <w:pStyle w:val="Normal"/>
        <w:pBdr>
          <w:bottom w:val="single" w:sz="4" w:space="1" w:color="2E4057"/>
        </w:pBdr>
        <w:spacing w:before="120" w:after="120"/>
        <w:rPr/>
      </w:pPr>
      <w:r>
        <w:rPr/>
      </w:r>
    </w:p>
    <w:p>
      <w:pPr>
        <w:pStyle w:val="Heading1"/>
        <w:spacing w:before="320" w:after="160"/>
        <w:rPr/>
      </w:pPr>
      <w:r>
        <w:rPr>
          <w:rFonts w:eastAsia="Arial" w:cs="Arial" w:ascii="Arial" w:hAnsi="Arial"/>
          <w:b/>
          <w:bCs/>
          <w:color w:val="2E4057"/>
          <w:sz w:val="32"/>
          <w:szCs w:val="32"/>
        </w:rPr>
        <w:t>6. Contrast Class</w:t>
      </w:r>
    </w:p>
    <w:p>
      <w:pPr>
        <w:pStyle w:val="Normal"/>
        <w:spacing w:before="120" w:after="120"/>
        <w:jc w:val="left"/>
        <w:rPr/>
      </w:pPr>
      <w:r>
        <w:rPr>
          <w:rFonts w:eastAsia="Arial" w:cs="Arial"/>
          <w:b w:val="false"/>
          <w:bCs w:val="false"/>
          <w:i w:val="false"/>
          <w:iCs w:val="false"/>
          <w:color w:val="000000"/>
          <w:sz w:val="22"/>
          <w:szCs w:val="22"/>
        </w:rPr>
        <w:t>The SCH framework predicts anomalous gravitational sourcing in systems with high geometric coherence and predicts its absence in systems with randomised orbital configurations. Slow rotators represent the contrast class: systems near the isotropic gravitational ground state. The Scenario B result in slow rotators — where the βz signal does not survive σe inclusion — is consistent with this prediction. In pressure-dominated systems, velocity ellipsoid anisotropy and dispersion magnitude are not separable by kinematic observation alone.</w:t>
      </w:r>
    </w:p>
    <w:p>
      <w:pPr>
        <w:pStyle w:val="Normal"/>
        <w:spacing w:before="120" w:after="120"/>
        <w:jc w:val="left"/>
        <w:rPr/>
      </w:pPr>
      <w:r>
        <w:rPr>
          <w:rFonts w:eastAsia="Arial" w:cs="Arial"/>
          <w:b w:val="false"/>
          <w:bCs w:val="false"/>
          <w:i w:val="false"/>
          <w:iCs w:val="false"/>
          <w:color w:val="000000"/>
          <w:sz w:val="22"/>
          <w:szCs w:val="22"/>
        </w:rPr>
        <w:t>The positive βz signal in fast rotators, where the contrast between tangential and radial orbit organisation is physically meaningful and kinematically accessible, is the result the SCH framework predicts. The absence of a clean signal in slow rotators after σe control is not a failure of the replication. It is the contrast class behaving as expected.</w:t>
      </w:r>
    </w:p>
    <w:p>
      <w:pPr>
        <w:pStyle w:val="Normal"/>
        <w:pBdr>
          <w:bottom w:val="single" w:sz="4" w:space="1" w:color="2E4057"/>
        </w:pBdr>
        <w:spacing w:before="120" w:after="120"/>
        <w:rPr/>
      </w:pPr>
      <w:r>
        <w:rPr/>
      </w:r>
    </w:p>
    <w:p>
      <w:pPr>
        <w:pStyle w:val="Heading1"/>
        <w:spacing w:before="320" w:after="160"/>
        <w:rPr/>
      </w:pPr>
      <w:r>
        <w:rPr>
          <w:rFonts w:eastAsia="Arial" w:cs="Arial" w:ascii="Arial" w:hAnsi="Arial"/>
          <w:b/>
          <w:bCs/>
          <w:color w:val="2E4057"/>
          <w:sz w:val="32"/>
          <w:szCs w:val="32"/>
        </w:rPr>
        <w:t>7. Limitations and Open Requirements</w:t>
      </w:r>
    </w:p>
    <w:p>
      <w:pPr>
        <w:pStyle w:val="ListParagraph"/>
        <w:numPr>
          <w:ilvl w:val="0"/>
          <w:numId w:val="1"/>
        </w:numPr>
        <w:spacing w:before="80" w:after="80"/>
        <w:rPr/>
      </w:pPr>
      <w:r>
        <w:rPr>
          <w:rFonts w:eastAsia="Arial" w:cs="Arial"/>
          <w:sz w:val="22"/>
          <w:szCs w:val="22"/>
        </w:rPr>
        <w:t>DES Y6 weak lensing cross-match. The lensing staircase is the most important independent test. It does not depend on JAM, Firefly, or any kinematic estimator. Its absence is the primary limitation of this analysis. Recommended as highest-priority follow-up when the DES Y6 Metadetection shape catalogue is released.</w:t>
      </w:r>
    </w:p>
    <w:p>
      <w:pPr>
        <w:pStyle w:val="ListParagraph"/>
        <w:numPr>
          <w:ilvl w:val="0"/>
          <w:numId w:val="1"/>
        </w:numPr>
        <w:spacing w:before="80" w:after="80"/>
        <w:rPr/>
      </w:pPr>
      <w:r>
        <w:rPr>
          <w:rFonts w:eastAsia="Arial" w:cs="Arial"/>
          <w:sz w:val="22"/>
          <w:szCs w:val="22"/>
        </w:rPr>
        <w:t>Confounder vs mediator ambiguity for σe in Scenario B subsamples. Observational correlations cannot distinguish whether σe is a confounder or a mediator in high-mass slow rotators. Both specifications are reported. Resolution requires an instrumental variable approach or simulation-based causal inference.</w:t>
      </w:r>
    </w:p>
    <w:p>
      <w:pPr>
        <w:pStyle w:val="ListParagraph"/>
        <w:numPr>
          <w:ilvl w:val="0"/>
          <w:numId w:val="1"/>
        </w:numPr>
        <w:spacing w:before="80" w:after="80"/>
        <w:rPr/>
      </w:pPr>
      <w:r>
        <w:rPr>
          <w:rFonts w:eastAsia="Arial" w:cs="Arial"/>
          <w:sz w:val="22"/>
          <w:szCs w:val="22"/>
        </w:rPr>
        <w:t>Sample size in Scenario B cells. High_slow (N = 584) and slow overall (N = 814) are smaller subsamples. Classification could shift with a larger sample or with JAM model variants better suited to triaxial systems.</w:t>
      </w:r>
    </w:p>
    <w:p>
      <w:pPr>
        <w:pStyle w:val="ListParagraph"/>
        <w:numPr>
          <w:ilvl w:val="0"/>
          <w:numId w:val="1"/>
        </w:numPr>
        <w:spacing w:before="80" w:after="80"/>
        <w:rPr/>
      </w:pPr>
      <w:r>
        <w:rPr>
          <w:rFonts w:eastAsia="Arial" w:cs="Arial"/>
          <w:sz w:val="22"/>
          <w:szCs w:val="22"/>
        </w:rPr>
        <w:t>JAM model chi2_dof threshold. The quality cut at chi2_dof &lt; 5 removed 1,958 galaxies. Sensitivity to this threshold at chi2_dof &lt; 10 has not been tested.</w:t>
      </w:r>
    </w:p>
    <w:p>
      <w:pPr>
        <w:pStyle w:val="ListParagraph"/>
        <w:numPr>
          <w:ilvl w:val="0"/>
          <w:numId w:val="1"/>
        </w:numPr>
        <w:spacing w:before="80" w:after="80"/>
        <w:rPr/>
      </w:pPr>
      <w:r>
        <w:rPr>
          <w:rFonts w:eastAsia="Arial" w:cs="Arial"/>
          <w:sz w:val="22"/>
          <w:szCs w:val="22"/>
        </w:rPr>
        <w:t>Sky position and large-scale structure. A CMB dipole or large-scale structure alignment analysis was identified as a potential follow-up during the inclination investigation. It was not required once the σe mediation chain was confirmed, but is noted as an available diagnostic if the inclination issue re-emerges in future analysis variants.</w:t>
      </w:r>
    </w:p>
    <w:p>
      <w:pPr>
        <w:pStyle w:val="Normal"/>
        <w:pBdr>
          <w:bottom w:val="single" w:sz="4" w:space="1" w:color="2E4057"/>
        </w:pBdr>
        <w:spacing w:before="120" w:after="120"/>
        <w:rPr/>
      </w:pPr>
      <w:r>
        <w:rPr/>
      </w:r>
    </w:p>
    <w:p>
      <w:pPr>
        <w:pStyle w:val="Heading1"/>
        <w:spacing w:before="320" w:after="160"/>
        <w:rPr/>
      </w:pPr>
      <w:r>
        <w:rPr>
          <w:rFonts w:eastAsia="Arial" w:cs="Arial" w:ascii="Arial" w:hAnsi="Arial"/>
          <w:b/>
          <w:bCs/>
          <w:color w:val="2E4057"/>
          <w:sz w:val="32"/>
          <w:szCs w:val="32"/>
        </w:rPr>
        <w:t>8. Summary</w:t>
      </w:r>
    </w:p>
    <w:p>
      <w:pPr>
        <w:pStyle w:val="Normal"/>
        <w:spacing w:before="120" w:after="120"/>
        <w:jc w:val="left"/>
        <w:rPr/>
      </w:pPr>
      <w:r>
        <w:rPr>
          <w:rFonts w:eastAsia="Arial" w:cs="Arial"/>
          <w:b w:val="false"/>
          <w:bCs w:val="false"/>
          <w:i w:val="false"/>
          <w:iCs w:val="false"/>
          <w:color w:val="000000"/>
          <w:sz w:val="22"/>
          <w:szCs w:val="22"/>
        </w:rPr>
        <w:t>The βz velocity anisotropy parameter carries a statistically significant positive relationship with the Firefly RAR residual that survives joint control for stellar mass, effective radius, Sersic index, and light-weighted age (ρ = +0.128, p = 6.98e−15, N = 3,643). The signal is robust to the additional inclusion of σe in the control set (ρ = +0.127, p = 1.38e−14), confirming it is not a kinematic dispersion proxy. This result holds in fast rotators across all mass tertiles.</w:t>
      </w:r>
    </w:p>
    <w:p>
      <w:pPr>
        <w:pStyle w:val="Normal"/>
        <w:spacing w:before="120" w:after="120"/>
        <w:jc w:val="left"/>
        <w:rPr/>
      </w:pPr>
      <w:r>
        <w:rPr>
          <w:rFonts w:eastAsia="Arial" w:cs="Arial"/>
          <w:b w:val="false"/>
          <w:bCs w:val="false"/>
          <w:i w:val="false"/>
          <w:iCs w:val="false"/>
          <w:color w:val="000000"/>
          <w:sz w:val="22"/>
          <w:szCs w:val="22"/>
        </w:rPr>
        <w:t>In slow rotators and high-mass slow rotators, βz and σe share sufficient variance that the signal does not survive σe inclusion. This is physically interpretable as the kinematic degeneracy of pressure-dominated systems and is consistent with the SCH contrast class prediction.</w:t>
      </w:r>
    </w:p>
    <w:p>
      <w:pPr>
        <w:pStyle w:val="Normal"/>
        <w:spacing w:before="120" w:after="120"/>
        <w:jc w:val="left"/>
        <w:rPr/>
      </w:pPr>
      <w:r>
        <w:rPr>
          <w:rFonts w:eastAsia="Arial" w:cs="Arial"/>
          <w:b w:val="false"/>
          <w:bCs w:val="false"/>
          <w:i w:val="false"/>
          <w:iCs w:val="false"/>
          <w:color w:val="000000"/>
          <w:sz w:val="22"/>
          <w:szCs w:val="22"/>
        </w:rPr>
        <w:t>An inclination artifact was identified in the JAM-based RAR residual, traced through a complete four-step mediation chain to σe projection in slow rotators, and confirmed to be absent in the Firefly residual at first order. The JAM residual is not used as primary evidence. The Firefly residual is the primary signal.</w:t>
      </w:r>
    </w:p>
    <w:p>
      <w:pPr>
        <w:pStyle w:val="Normal"/>
        <w:spacing w:before="120" w:after="120"/>
        <w:jc w:val="left"/>
        <w:rPr/>
      </w:pPr>
      <w:r>
        <w:rPr>
          <w:rFonts w:eastAsia="Arial" w:cs="Arial"/>
          <w:b w:val="false"/>
          <w:bCs w:val="false"/>
          <w:i w:val="false"/>
          <w:iCs w:val="false"/>
          <w:color w:val="000000"/>
          <w:sz w:val="22"/>
          <w:szCs w:val="22"/>
        </w:rPr>
        <w:t>The DES Y6 weak lensing cross-match remains the critical outstanding test.</w:t>
      </w:r>
    </w:p>
    <w:p>
      <w:pPr>
        <w:pStyle w:val="Normal"/>
        <w:pBdr>
          <w:bottom w:val="single" w:sz="4" w:space="1" w:color="2E4057"/>
        </w:pBdr>
        <w:spacing w:before="120" w:after="120"/>
        <w:rPr/>
      </w:pPr>
      <w:r>
        <w:rPr/>
      </w:r>
    </w:p>
    <w:p>
      <w:pPr>
        <w:pStyle w:val="Normal"/>
        <w:spacing w:before="120" w:after="0"/>
        <w:rPr/>
      </w:pPr>
      <w:r>
        <w:rPr>
          <w:rFonts w:eastAsia="Arial" w:cs="Arial"/>
          <w:i/>
          <w:iCs/>
          <w:color w:val="888888"/>
          <w:sz w:val="17"/>
          <w:szCs w:val="17"/>
        </w:rPr>
        <w:t>SCH Replication Study  |  Results Draft  |  June 2026  |  Variable Systems</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160"/>
      <w:outlineLvl w:val="0"/>
    </w:pPr>
    <w:rPr>
      <w:rFonts w:ascii="Arial" w:hAnsi="Arial" w:eastAsia="Arial" w:cs="Arial"/>
      <w:b/>
      <w:bCs/>
      <w:color w:val="2E4057"/>
      <w:sz w:val="32"/>
      <w:szCs w:val="32"/>
    </w:rPr>
  </w:style>
  <w:style w:type="paragraph" w:styleId="Heading2">
    <w:name w:val="Heading 2"/>
    <w:basedOn w:val="Heading"/>
    <w:qFormat/>
    <w:pPr>
      <w:spacing w:before="240" w:after="120"/>
      <w:outlineLvl w:val="1"/>
    </w:pPr>
    <w:rPr>
      <w:rFonts w:ascii="Arial" w:hAnsi="Arial" w:eastAsia="Arial" w:cs="Arial"/>
      <w:b/>
      <w:bCs/>
      <w:color w:val="2E4057"/>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TotalTime>
  <Application>LibreOffice/24.2.7.2$Linux_X86_64 LibreOffice_project/420$Build-2</Application>
  <AppVersion>15.0000</AppVersion>
  <Pages>5</Pages>
  <Words>1914</Words>
  <Characters>10440</Characters>
  <CharactersWithSpaces>12147</CharactersWithSpaces>
  <Paragraphs>215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2026-06-16T11:56:09Z</dcterms:created>
  <dc:creator>Un-named</dc:creator>
  <dc:description/>
  <dc:language>en-US</dc:language>
  <cp:lastModifiedBy/>
  <dcterms:modified xsi:type="dcterms:W3CDTF">2026-06-16T05:18:52Z</dcterms:modified>
  <cp:revision>2</cp:revision>
  <dc:subject/>
  <dc:title/>
</cp:coreProperties>
</file>