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1E8A1" w14:textId="096B8465" w:rsidR="003A3036" w:rsidRPr="00C21499" w:rsidRDefault="003A3036" w:rsidP="003A3036">
      <w:pPr>
        <w:rPr>
          <w:rFonts w:ascii="Times New Roman" w:hAnsi="Times New Roman" w:cs="Times New Roman"/>
          <w:b/>
        </w:rPr>
      </w:pPr>
      <w:r w:rsidRPr="00EA5B14">
        <w:rPr>
          <w:rFonts w:ascii="Times New Roman" w:hAnsi="Times New Roman" w:cs="Times New Roman"/>
          <w:b/>
        </w:rPr>
        <w:t xml:space="preserve">Title: </w:t>
      </w:r>
      <w:r>
        <w:rPr>
          <w:rFonts w:ascii="Times New Roman" w:hAnsi="Times New Roman" w:cs="Times New Roman"/>
          <w:b/>
        </w:rPr>
        <w:t xml:space="preserve">  Male pathology regardless of </w:t>
      </w:r>
      <w:proofErr w:type="spellStart"/>
      <w:r>
        <w:rPr>
          <w:rFonts w:ascii="Times New Roman" w:hAnsi="Times New Roman" w:cs="Times New Roman"/>
          <w:b/>
        </w:rPr>
        <w:t>behaviour</w:t>
      </w:r>
      <w:proofErr w:type="spellEnd"/>
      <w:r>
        <w:rPr>
          <w:rFonts w:ascii="Times New Roman" w:hAnsi="Times New Roman" w:cs="Times New Roman"/>
          <w:b/>
        </w:rPr>
        <w:t xml:space="preserve"> drives transmission in an avian host-pathogen system</w:t>
      </w:r>
    </w:p>
    <w:p w14:paraId="4B1667DE" w14:textId="77777777" w:rsidR="003A3036" w:rsidRPr="00C21499" w:rsidRDefault="003A3036" w:rsidP="003A3036">
      <w:pPr>
        <w:rPr>
          <w:rFonts w:ascii="Times New Roman" w:hAnsi="Times New Roman" w:cs="Times New Roman"/>
          <w:vertAlign w:val="superscript"/>
        </w:rPr>
      </w:pPr>
      <w:r w:rsidRPr="00C21499">
        <w:rPr>
          <w:rFonts w:ascii="Times New Roman" w:hAnsi="Times New Roman" w:cs="Times New Roman"/>
          <w:b/>
        </w:rPr>
        <w:t xml:space="preserve">Authors: </w:t>
      </w:r>
      <w:bookmarkStart w:id="0" w:name="_Hlk101863637"/>
      <w:r w:rsidRPr="00C21499">
        <w:rPr>
          <w:rFonts w:ascii="Times New Roman" w:hAnsi="Times New Roman" w:cs="Times New Roman"/>
        </w:rPr>
        <w:t>Erin L. Sauer</w:t>
      </w:r>
      <w:r w:rsidRPr="00C21499">
        <w:rPr>
          <w:rFonts w:ascii="Times New Roman" w:hAnsi="Times New Roman" w:cs="Times New Roman"/>
          <w:vertAlign w:val="superscript"/>
        </w:rPr>
        <w:t>1</w:t>
      </w:r>
      <w:r w:rsidRPr="00C21499">
        <w:rPr>
          <w:rFonts w:ascii="Times New Roman" w:hAnsi="Times New Roman" w:cs="Times New Roman"/>
        </w:rPr>
        <w:t>, Chloe Connelly</w:t>
      </w:r>
      <w:r w:rsidRPr="00C21499">
        <w:rPr>
          <w:rFonts w:ascii="Times New Roman" w:hAnsi="Times New Roman" w:cs="Times New Roman"/>
          <w:vertAlign w:val="superscript"/>
        </w:rPr>
        <w:t>1</w:t>
      </w:r>
      <w:r w:rsidRPr="00C21499">
        <w:rPr>
          <w:rFonts w:ascii="Times New Roman" w:hAnsi="Times New Roman" w:cs="Times New Roman"/>
        </w:rPr>
        <w:t>, Weston Perrine</w:t>
      </w:r>
      <w:r w:rsidRPr="00C21499">
        <w:rPr>
          <w:rFonts w:ascii="Times New Roman" w:hAnsi="Times New Roman" w:cs="Times New Roman"/>
          <w:vertAlign w:val="superscript"/>
        </w:rPr>
        <w:t>1</w:t>
      </w:r>
      <w:r w:rsidRPr="00C21499">
        <w:rPr>
          <w:rFonts w:ascii="Times New Roman" w:hAnsi="Times New Roman" w:cs="Times New Roman"/>
        </w:rPr>
        <w:t>, Ashely C. Love</w:t>
      </w:r>
      <w:r w:rsidRPr="00C21499">
        <w:rPr>
          <w:rFonts w:ascii="Times New Roman" w:hAnsi="Times New Roman" w:cs="Times New Roman"/>
          <w:vertAlign w:val="superscript"/>
        </w:rPr>
        <w:t>1,2</w:t>
      </w:r>
      <w:r w:rsidRPr="00C21499">
        <w:rPr>
          <w:rFonts w:ascii="Times New Roman" w:hAnsi="Times New Roman" w:cs="Times New Roman"/>
        </w:rPr>
        <w:t>, Sarah E. DuRant</w:t>
      </w:r>
      <w:r w:rsidRPr="00C21499">
        <w:rPr>
          <w:rFonts w:ascii="Times New Roman" w:hAnsi="Times New Roman" w:cs="Times New Roman"/>
          <w:vertAlign w:val="superscript"/>
        </w:rPr>
        <w:t>1</w:t>
      </w:r>
    </w:p>
    <w:p w14:paraId="359B8165" w14:textId="77777777" w:rsidR="003A3036" w:rsidRPr="00C21499" w:rsidRDefault="003A3036" w:rsidP="003A3036">
      <w:pPr>
        <w:pStyle w:val="Paragraph"/>
        <w:ind w:firstLine="0"/>
        <w:rPr>
          <w:b/>
        </w:rPr>
      </w:pPr>
      <w:bookmarkStart w:id="1" w:name="_Hlk101863689"/>
      <w:bookmarkEnd w:id="0"/>
      <w:r w:rsidRPr="00C21499">
        <w:rPr>
          <w:b/>
        </w:rPr>
        <w:t xml:space="preserve">Affiliations: </w:t>
      </w:r>
    </w:p>
    <w:p w14:paraId="29BFE00D" w14:textId="77777777" w:rsidR="003A3036" w:rsidRPr="00C21499" w:rsidRDefault="003A3036" w:rsidP="003A3036">
      <w:pPr>
        <w:pStyle w:val="Paragraph"/>
        <w:ind w:firstLine="0"/>
      </w:pPr>
      <w:r w:rsidRPr="00C21499">
        <w:rPr>
          <w:vertAlign w:val="superscript"/>
        </w:rPr>
        <w:t>1</w:t>
      </w:r>
      <w:r w:rsidRPr="00C21499">
        <w:t>Department of Biological Sciences, University of Arkansas, Fayetteville, AR.</w:t>
      </w:r>
    </w:p>
    <w:p w14:paraId="41031CD4" w14:textId="77777777" w:rsidR="003A3036" w:rsidRPr="00C21499" w:rsidRDefault="003A3036" w:rsidP="003A3036">
      <w:pPr>
        <w:pStyle w:val="Paragraph"/>
        <w:ind w:firstLine="0"/>
      </w:pPr>
      <w:r w:rsidRPr="00C21499">
        <w:rPr>
          <w:vertAlign w:val="superscript"/>
        </w:rPr>
        <w:t>2</w:t>
      </w:r>
      <w:r w:rsidRPr="00C21499">
        <w:t>Ecology and Evolutionary Biology, University of Connecticut, Storrs, CT.</w:t>
      </w:r>
      <w:r w:rsidRPr="00C21499">
        <w:br/>
      </w:r>
    </w:p>
    <w:p w14:paraId="2F75BD25" w14:textId="77777777" w:rsidR="003A3036" w:rsidRDefault="003A3036" w:rsidP="003A3036">
      <w:pPr>
        <w:pStyle w:val="Paragraph"/>
        <w:ind w:firstLine="0"/>
        <w:rPr>
          <w:rStyle w:val="Hyperlink"/>
        </w:rPr>
      </w:pPr>
      <w:r w:rsidRPr="00C21499">
        <w:t xml:space="preserve">Correspondence to: </w:t>
      </w:r>
      <w:hyperlink r:id="rId7" w:history="1">
        <w:r w:rsidRPr="002B21EE">
          <w:rPr>
            <w:rStyle w:val="Hyperlink"/>
          </w:rPr>
          <w:t>erinsauer10@gmail.com</w:t>
        </w:r>
      </w:hyperlink>
    </w:p>
    <w:p w14:paraId="52E5FCE5" w14:textId="77777777" w:rsidR="003A3036" w:rsidRPr="002B21EE" w:rsidRDefault="003A3036" w:rsidP="003A3036">
      <w:pPr>
        <w:pStyle w:val="Paragraph"/>
        <w:ind w:firstLine="0"/>
        <w:rPr>
          <w:rStyle w:val="Hyperlink"/>
        </w:rPr>
      </w:pPr>
    </w:p>
    <w:bookmarkEnd w:id="1"/>
    <w:p w14:paraId="5C23CFD5" w14:textId="77777777" w:rsidR="003A3036" w:rsidRPr="00A25A33" w:rsidRDefault="003A3036" w:rsidP="003A3036">
      <w:pPr>
        <w:pStyle w:val="NoSpacing1"/>
        <w:spacing w:line="360" w:lineRule="auto"/>
        <w:rPr>
          <w:rFonts w:ascii="Times New Roman" w:hAnsi="Times New Roman"/>
        </w:rPr>
      </w:pPr>
      <w:r w:rsidRPr="002B21EE">
        <w:rPr>
          <w:rFonts w:ascii="Times New Roman" w:hAnsi="Times New Roman"/>
          <w:b/>
        </w:rPr>
        <w:t xml:space="preserve">Author emails (in order of authorship): </w:t>
      </w:r>
      <w:hyperlink r:id="rId8" w:history="1">
        <w:r w:rsidRPr="002B21EE">
          <w:rPr>
            <w:rStyle w:val="Hyperlink"/>
            <w:rFonts w:ascii="Times New Roman" w:hAnsi="Times New Roman"/>
          </w:rPr>
          <w:t>erinsauer10@gmail.com</w:t>
        </w:r>
      </w:hyperlink>
      <w:r w:rsidRPr="002B21EE">
        <w:rPr>
          <w:rFonts w:ascii="Times New Roman" w:hAnsi="Times New Roman"/>
        </w:rPr>
        <w:t xml:space="preserve">, </w:t>
      </w:r>
      <w:hyperlink r:id="rId9" w:history="1">
        <w:r w:rsidRPr="002B21EE">
          <w:rPr>
            <w:rStyle w:val="Hyperlink"/>
            <w:rFonts w:ascii="Times New Roman" w:hAnsi="Times New Roman"/>
          </w:rPr>
          <w:t>connellychloe11@gmail.com</w:t>
        </w:r>
      </w:hyperlink>
      <w:r w:rsidRPr="002B21EE">
        <w:rPr>
          <w:rFonts w:ascii="Times New Roman" w:hAnsi="Times New Roman"/>
        </w:rPr>
        <w:t xml:space="preserve">, </w:t>
      </w:r>
      <w:hyperlink r:id="rId10" w:history="1">
        <w:r w:rsidRPr="002B21EE">
          <w:rPr>
            <w:rStyle w:val="Hyperlink"/>
            <w:rFonts w:ascii="Times New Roman" w:hAnsi="Times New Roman"/>
          </w:rPr>
          <w:t>wgperrin@uark.edu</w:t>
        </w:r>
      </w:hyperlink>
      <w:r w:rsidRPr="002B21EE">
        <w:rPr>
          <w:rFonts w:ascii="Times New Roman" w:hAnsi="Times New Roman"/>
        </w:rPr>
        <w:t xml:space="preserve">, </w:t>
      </w:r>
      <w:hyperlink r:id="rId11" w:history="1">
        <w:r w:rsidRPr="002B21EE">
          <w:rPr>
            <w:rStyle w:val="Hyperlink"/>
            <w:rFonts w:ascii="Times New Roman" w:hAnsi="Times New Roman"/>
          </w:rPr>
          <w:t>ashley.love@uconn.edu</w:t>
        </w:r>
      </w:hyperlink>
      <w:r w:rsidRPr="002B21EE">
        <w:rPr>
          <w:rFonts w:ascii="Times New Roman" w:hAnsi="Times New Roman"/>
        </w:rPr>
        <w:t xml:space="preserve">, </w:t>
      </w:r>
      <w:r w:rsidRPr="00A25A33">
        <w:rPr>
          <w:rFonts w:ascii="Times New Roman" w:hAnsi="Times New Roman"/>
        </w:rPr>
        <w:t xml:space="preserve">sedurant@uark.edu </w:t>
      </w:r>
    </w:p>
    <w:p w14:paraId="64E8F4C5" w14:textId="41A26DC6" w:rsidR="003A3036" w:rsidRPr="002B21EE" w:rsidRDefault="003A3036" w:rsidP="003A3036">
      <w:pPr>
        <w:pStyle w:val="NoSpacing"/>
        <w:spacing w:line="360" w:lineRule="auto"/>
        <w:rPr>
          <w:rStyle w:val="Hyperlink"/>
          <w:rFonts w:ascii="Times New Roman" w:hAnsi="Times New Roman" w:cs="Times New Roman"/>
          <w:sz w:val="24"/>
          <w:szCs w:val="24"/>
        </w:rPr>
      </w:pPr>
      <w:r w:rsidRPr="00A25A33">
        <w:rPr>
          <w:rFonts w:ascii="Times New Roman" w:hAnsi="Times New Roman" w:cs="Times New Roman"/>
          <w:b/>
          <w:sz w:val="24"/>
          <w:szCs w:val="24"/>
        </w:rPr>
        <w:t>Author statement</w:t>
      </w:r>
      <w:r w:rsidRPr="00A25A33">
        <w:rPr>
          <w:rFonts w:ascii="Times New Roman" w:hAnsi="Times New Roman" w:cs="Times New Roman"/>
          <w:sz w:val="24"/>
          <w:szCs w:val="24"/>
        </w:rPr>
        <w:t xml:space="preserve">: </w:t>
      </w:r>
      <w:r w:rsidR="003848FB">
        <w:rPr>
          <w:rFonts w:ascii="Times New Roman" w:hAnsi="Times New Roman" w:cs="Times New Roman"/>
          <w:sz w:val="24"/>
          <w:szCs w:val="24"/>
        </w:rPr>
        <w:t>A</w:t>
      </w:r>
      <w:r w:rsidRPr="00A25A33">
        <w:rPr>
          <w:rFonts w:ascii="Times New Roman" w:hAnsi="Times New Roman" w:cs="Times New Roman"/>
          <w:sz w:val="24"/>
          <w:szCs w:val="24"/>
        </w:rPr>
        <w:t>ll authors agreed to submission of the manuscript and accept the responsibility for the accuracy and integrity of the manuscript.</w:t>
      </w:r>
    </w:p>
    <w:p w14:paraId="580313F7" w14:textId="4043D968" w:rsidR="003A3036" w:rsidRPr="003A3036" w:rsidRDefault="003A3036" w:rsidP="003A3036">
      <w:pPr>
        <w:spacing w:line="480" w:lineRule="auto"/>
        <w:rPr>
          <w:rStyle w:val="Hyperlink"/>
          <w:rFonts w:ascii="Times New Roman" w:hAnsi="Times New Roman" w:cs="Times New Roman"/>
          <w:bCs/>
          <w:color w:val="auto"/>
          <w:u w:val="none"/>
        </w:rPr>
      </w:pPr>
      <w:r w:rsidRPr="003A3036">
        <w:rPr>
          <w:rFonts w:ascii="Times New Roman" w:hAnsi="Times New Roman" w:cs="Times New Roman"/>
          <w:b/>
        </w:rPr>
        <w:t>Author contributions:</w:t>
      </w:r>
      <w:r w:rsidR="003848FB">
        <w:rPr>
          <w:rFonts w:ascii="Times New Roman" w:hAnsi="Times New Roman" w:cs="Times New Roman"/>
          <w:b/>
        </w:rPr>
        <w:t xml:space="preserve"> </w:t>
      </w:r>
      <w:r w:rsidRPr="003A3036">
        <w:rPr>
          <w:rFonts w:ascii="Times New Roman" w:hAnsi="Times New Roman" w:cs="Times New Roman"/>
          <w:b/>
        </w:rPr>
        <w:t xml:space="preserve"> </w:t>
      </w:r>
      <w:r w:rsidR="003848FB" w:rsidRPr="003848FB">
        <w:rPr>
          <w:rFonts w:ascii="Times New Roman" w:hAnsi="Times New Roman" w:cs="Times New Roman"/>
          <w:bCs/>
        </w:rPr>
        <w:t>E.L.S. conceived ideas and designed the</w:t>
      </w:r>
      <w:r w:rsidR="003848FB">
        <w:rPr>
          <w:rFonts w:ascii="Times New Roman" w:hAnsi="Times New Roman" w:cs="Times New Roman"/>
          <w:bCs/>
        </w:rPr>
        <w:t xml:space="preserve"> transmission</w:t>
      </w:r>
      <w:r w:rsidR="003848FB" w:rsidRPr="003848FB">
        <w:rPr>
          <w:rFonts w:ascii="Times New Roman" w:hAnsi="Times New Roman" w:cs="Times New Roman"/>
          <w:bCs/>
        </w:rPr>
        <w:t xml:space="preserve"> model, W.P., A.C.L., and S.E.D. designed and oversaw the canary experiment, all authors collected canary data and processed samples, E.L.S. conducted analyses and wrote the first draft of the manuscript, all authors provided comments and edits on later drafts.</w:t>
      </w:r>
      <w:r w:rsidRPr="003A3036">
        <w:rPr>
          <w:rFonts w:ascii="Times New Roman" w:hAnsi="Times New Roman" w:cs="Times New Roman"/>
        </w:rPr>
        <w:br/>
      </w:r>
      <w:r w:rsidRPr="003A3036">
        <w:rPr>
          <w:rStyle w:val="Hyperlink"/>
          <w:rFonts w:ascii="Times New Roman" w:hAnsi="Times New Roman" w:cs="Times New Roman"/>
          <w:b/>
          <w:color w:val="auto"/>
          <w:u w:val="none"/>
        </w:rPr>
        <w:t xml:space="preserve">Keywords: </w:t>
      </w:r>
      <w:r w:rsidRPr="003A3036">
        <w:rPr>
          <w:rStyle w:val="Hyperlink"/>
          <w:rFonts w:ascii="Times New Roman" w:hAnsi="Times New Roman" w:cs="Times New Roman"/>
          <w:bCs/>
          <w:color w:val="auto"/>
          <w:u w:val="none"/>
        </w:rPr>
        <w:t>Disease transmission,</w:t>
      </w:r>
      <w:r w:rsidRPr="003A3036">
        <w:rPr>
          <w:rStyle w:val="Hyperlink"/>
          <w:rFonts w:ascii="Times New Roman" w:hAnsi="Times New Roman" w:cs="Times New Roman"/>
          <w:b/>
          <w:color w:val="auto"/>
          <w:u w:val="none"/>
        </w:rPr>
        <w:t xml:space="preserve"> </w:t>
      </w:r>
      <w:r w:rsidRPr="003A3036">
        <w:rPr>
          <w:rStyle w:val="Hyperlink"/>
          <w:rFonts w:ascii="Times New Roman" w:hAnsi="Times New Roman" w:cs="Times New Roman"/>
          <w:bCs/>
          <w:color w:val="auto"/>
          <w:u w:val="none"/>
        </w:rPr>
        <w:t xml:space="preserve">sex-biased infection, sex-biased transmission, </w:t>
      </w:r>
      <w:r w:rsidRPr="003A3036">
        <w:rPr>
          <w:rFonts w:ascii="Times New Roman" w:hAnsi="Times New Roman" w:cs="Times New Roman"/>
          <w:bCs/>
          <w:i/>
          <w:iCs/>
        </w:rPr>
        <w:t xml:space="preserve">Mycoplasma </w:t>
      </w:r>
      <w:proofErr w:type="spellStart"/>
      <w:r w:rsidRPr="003A3036">
        <w:rPr>
          <w:rFonts w:ascii="Times New Roman" w:hAnsi="Times New Roman" w:cs="Times New Roman"/>
          <w:bCs/>
          <w:i/>
          <w:iCs/>
        </w:rPr>
        <w:t>gallisepticum</w:t>
      </w:r>
      <w:proofErr w:type="spellEnd"/>
      <w:r w:rsidRPr="003A3036">
        <w:rPr>
          <w:rFonts w:ascii="Times New Roman" w:hAnsi="Times New Roman" w:cs="Times New Roman"/>
          <w:bCs/>
        </w:rPr>
        <w:t>, resistance, avian disease</w:t>
      </w:r>
      <w:r w:rsidRPr="003A3036">
        <w:rPr>
          <w:rStyle w:val="Hyperlink"/>
          <w:rFonts w:ascii="Times New Roman" w:hAnsi="Times New Roman" w:cs="Times New Roman"/>
          <w:color w:val="auto"/>
          <w:u w:val="none"/>
        </w:rPr>
        <w:br/>
      </w:r>
      <w:r w:rsidRPr="003A3036">
        <w:rPr>
          <w:rStyle w:val="Hyperlink"/>
          <w:rFonts w:ascii="Times New Roman" w:hAnsi="Times New Roman" w:cs="Times New Roman"/>
          <w:b/>
          <w:color w:val="auto"/>
          <w:u w:val="none"/>
        </w:rPr>
        <w:t xml:space="preserve">Data Accessibility Statement: </w:t>
      </w:r>
      <w:r w:rsidRPr="003A3036">
        <w:rPr>
          <w:rStyle w:val="Hyperlink"/>
          <w:rFonts w:ascii="Times New Roman" w:hAnsi="Times New Roman" w:cs="Times New Roman"/>
          <w:color w:val="auto"/>
          <w:u w:val="none"/>
        </w:rPr>
        <w:t xml:space="preserve">Should the manuscript be accepted, the data supporting the results will be publicly archived on GitHub: </w:t>
      </w:r>
      <w:hyperlink r:id="rId12" w:history="1">
        <w:r w:rsidRPr="003A3036">
          <w:rPr>
            <w:rStyle w:val="Hyperlink"/>
            <w:rFonts w:ascii="Times New Roman" w:hAnsi="Times New Roman" w:cs="Times New Roman"/>
            <w:color w:val="auto"/>
            <w:u w:val="none"/>
          </w:rPr>
          <w:t>https://github.com/erinsauer/sex-biased-MG-transmission</w:t>
        </w:r>
      </w:hyperlink>
      <w:r w:rsidRPr="003A3036">
        <w:rPr>
          <w:rStyle w:val="Hyperlink"/>
          <w:rFonts w:ascii="Times New Roman" w:hAnsi="Times New Roman" w:cs="Times New Roman"/>
          <w:color w:val="auto"/>
          <w:u w:val="none"/>
        </w:rPr>
        <w:t>.</w:t>
      </w:r>
    </w:p>
    <w:p w14:paraId="0921C1E0" w14:textId="77777777" w:rsidR="003A3036" w:rsidRDefault="003A3036" w:rsidP="003A3036">
      <w:pPr>
        <w:rPr>
          <w:rFonts w:ascii="Times New Roman" w:hAnsi="Times New Roman" w:cs="Times New Roman"/>
        </w:rPr>
      </w:pPr>
    </w:p>
    <w:p w14:paraId="13EAECB2" w14:textId="5D43528F" w:rsidR="00F133DD" w:rsidRPr="003A3036" w:rsidRDefault="003A3036" w:rsidP="003A3036">
      <w:pPr>
        <w:spacing w:line="480" w:lineRule="auto"/>
        <w:rPr>
          <w:rStyle w:val="Hyperlink"/>
          <w:rFonts w:ascii="Times New Roman" w:hAnsi="Times New Roman" w:cs="Times New Roman"/>
          <w:color w:val="auto"/>
          <w:u w:val="none"/>
        </w:rPr>
      </w:pPr>
      <w:r>
        <w:rPr>
          <w:rFonts w:ascii="Times New Roman" w:hAnsi="Times New Roman" w:cs="Times New Roman"/>
          <w:b/>
        </w:rPr>
        <w:br w:type="page"/>
      </w:r>
    </w:p>
    <w:p w14:paraId="268BE241" w14:textId="098234CC" w:rsidR="00FE2A33" w:rsidRPr="00DD5ACC" w:rsidRDefault="00FE2A33" w:rsidP="00FE2A33">
      <w:pPr>
        <w:pStyle w:val="Paragraph"/>
        <w:spacing w:line="480" w:lineRule="auto"/>
        <w:ind w:firstLine="0"/>
        <w:rPr>
          <w:color w:val="0563C1" w:themeColor="hyperlink"/>
          <w:u w:val="single"/>
        </w:rPr>
      </w:pPr>
      <w:r w:rsidRPr="00553F82">
        <w:rPr>
          <w:rStyle w:val="Hyperlink"/>
          <w:b/>
          <w:color w:val="auto"/>
          <w:u w:val="none"/>
        </w:rPr>
        <w:lastRenderedPageBreak/>
        <w:t xml:space="preserve">Abstract: </w:t>
      </w:r>
    </w:p>
    <w:p w14:paraId="5F739DD2" w14:textId="243398FC" w:rsidR="00FE2A33" w:rsidRDefault="00FE2A33" w:rsidP="00FE2A33">
      <w:pPr>
        <w:spacing w:line="480" w:lineRule="auto"/>
        <w:rPr>
          <w:rFonts w:ascii="Times New Roman" w:hAnsi="Times New Roman" w:cs="Times New Roman"/>
        </w:rPr>
      </w:pPr>
      <w:r>
        <w:rPr>
          <w:rFonts w:ascii="Times New Roman" w:hAnsi="Times New Roman" w:cs="Times New Roman"/>
        </w:rPr>
        <w:t>Host s</w:t>
      </w:r>
      <w:r w:rsidRPr="00415423">
        <w:rPr>
          <w:rFonts w:ascii="Times New Roman" w:hAnsi="Times New Roman" w:cs="Times New Roman"/>
        </w:rPr>
        <w:t xml:space="preserve">ex </w:t>
      </w:r>
      <w:r>
        <w:rPr>
          <w:rFonts w:ascii="Times New Roman" w:hAnsi="Times New Roman" w:cs="Times New Roman"/>
        </w:rPr>
        <w:t>is</w:t>
      </w:r>
      <w:r w:rsidRPr="00415423">
        <w:rPr>
          <w:rFonts w:ascii="Times New Roman" w:hAnsi="Times New Roman" w:cs="Times New Roman"/>
        </w:rPr>
        <w:t xml:space="preserve"> an important source of heterogeneity in </w:t>
      </w:r>
      <w:r>
        <w:rPr>
          <w:rFonts w:ascii="Times New Roman" w:hAnsi="Times New Roman" w:cs="Times New Roman"/>
        </w:rPr>
        <w:t xml:space="preserve">the severity of </w:t>
      </w:r>
      <w:r w:rsidRPr="00415423">
        <w:rPr>
          <w:rFonts w:ascii="Times New Roman" w:hAnsi="Times New Roman" w:cs="Times New Roman"/>
        </w:rPr>
        <w:t xml:space="preserve">epidemics. </w:t>
      </w:r>
      <w:r w:rsidR="00C54A45">
        <w:rPr>
          <w:rFonts w:ascii="Times New Roman" w:hAnsi="Times New Roman" w:cs="Times New Roman"/>
        </w:rPr>
        <w:t xml:space="preserve">Pinpointing the mechanisms causing this heterogeneity can be difficult because </w:t>
      </w:r>
      <w:r>
        <w:rPr>
          <w:rFonts w:ascii="Times New Roman" w:hAnsi="Times New Roman" w:cs="Times New Roman"/>
        </w:rPr>
        <w:t xml:space="preserve">differences in </w:t>
      </w:r>
      <w:proofErr w:type="spellStart"/>
      <w:r>
        <w:rPr>
          <w:rFonts w:ascii="Times New Roman" w:hAnsi="Times New Roman" w:cs="Times New Roman"/>
        </w:rPr>
        <w:t>behaviour</w:t>
      </w:r>
      <w:proofErr w:type="spellEnd"/>
      <w:r>
        <w:rPr>
          <w:rFonts w:ascii="Times New Roman" w:hAnsi="Times New Roman" w:cs="Times New Roman"/>
        </w:rPr>
        <w:t xml:space="preserve"> among sexes (</w:t>
      </w:r>
      <w:proofErr w:type="gramStart"/>
      <w:r>
        <w:rPr>
          <w:rFonts w:ascii="Times New Roman" w:hAnsi="Times New Roman" w:cs="Times New Roman"/>
        </w:rPr>
        <w:t>e.g.</w:t>
      </w:r>
      <w:proofErr w:type="gramEnd"/>
      <w:r>
        <w:rPr>
          <w:rFonts w:ascii="Times New Roman" w:hAnsi="Times New Roman" w:cs="Times New Roman"/>
        </w:rPr>
        <w:t xml:space="preserve"> greater territorial aggression in males) can bias exposure risk, </w:t>
      </w:r>
      <w:r w:rsidR="00C54A45">
        <w:rPr>
          <w:rFonts w:ascii="Times New Roman" w:hAnsi="Times New Roman" w:cs="Times New Roman"/>
        </w:rPr>
        <w:t>obfuscating</w:t>
      </w:r>
      <w:r w:rsidRPr="00415423">
        <w:rPr>
          <w:rFonts w:ascii="Times New Roman" w:hAnsi="Times New Roman" w:cs="Times New Roman"/>
        </w:rPr>
        <w:t xml:space="preserve"> </w:t>
      </w:r>
      <w:r w:rsidRPr="00753DBA">
        <w:rPr>
          <w:rFonts w:ascii="Times New Roman" w:hAnsi="Times New Roman" w:cs="Times New Roman"/>
        </w:rPr>
        <w:t>the role of immune function</w:t>
      </w:r>
      <w:r w:rsidR="00D616E1">
        <w:rPr>
          <w:rFonts w:ascii="Times New Roman" w:hAnsi="Times New Roman" w:cs="Times New Roman"/>
        </w:rPr>
        <w:t>, which can lead to differences in pathology,</w:t>
      </w:r>
      <w:r>
        <w:rPr>
          <w:rFonts w:ascii="Times New Roman" w:hAnsi="Times New Roman" w:cs="Times New Roman"/>
        </w:rPr>
        <w:t xml:space="preserve"> in driving differential susceptibility between sexes.</w:t>
      </w:r>
      <w:r w:rsidRPr="00FA7DB6">
        <w:rPr>
          <w:rFonts w:ascii="Times New Roman" w:hAnsi="Times New Roman" w:cs="Times New Roman"/>
        </w:rPr>
        <w:t xml:space="preserve"> </w:t>
      </w:r>
      <w:r>
        <w:rPr>
          <w:rFonts w:ascii="Times New Roman" w:hAnsi="Times New Roman" w:cs="Times New Roman"/>
        </w:rPr>
        <w:t>Thus,</w:t>
      </w:r>
      <w:r w:rsidRPr="00753DBA">
        <w:rPr>
          <w:rFonts w:ascii="Times New Roman" w:hAnsi="Times New Roman" w:cs="Times New Roman"/>
        </w:rPr>
        <w:t xml:space="preserve"> </w:t>
      </w:r>
      <w:r w:rsidRPr="00415423">
        <w:rPr>
          <w:rFonts w:ascii="Times New Roman" w:hAnsi="Times New Roman" w:cs="Times New Roman"/>
        </w:rPr>
        <w:t xml:space="preserve">sex-biased transmission driven by differences in </w:t>
      </w:r>
      <w:r w:rsidR="00D616E1">
        <w:rPr>
          <w:rFonts w:ascii="Times New Roman" w:hAnsi="Times New Roman" w:cs="Times New Roman"/>
        </w:rPr>
        <w:t>immune function</w:t>
      </w:r>
      <w:r>
        <w:rPr>
          <w:rFonts w:ascii="Times New Roman" w:hAnsi="Times New Roman" w:cs="Times New Roman"/>
        </w:rPr>
        <w:t xml:space="preserve"> independent of </w:t>
      </w:r>
      <w:proofErr w:type="spellStart"/>
      <w:r>
        <w:rPr>
          <w:rFonts w:ascii="Times New Roman" w:hAnsi="Times New Roman" w:cs="Times New Roman"/>
        </w:rPr>
        <w:t>behaviour</w:t>
      </w:r>
      <w:proofErr w:type="spellEnd"/>
      <w:r>
        <w:rPr>
          <w:rFonts w:ascii="Times New Roman" w:hAnsi="Times New Roman" w:cs="Times New Roman"/>
        </w:rPr>
        <w:t xml:space="preserve"> is poorly understood, especially in non-mammalian systems</w:t>
      </w:r>
      <w:r w:rsidRPr="00415423">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Cs/>
        </w:rPr>
        <w:t xml:space="preserve">Here we examine the </w:t>
      </w:r>
      <w:r w:rsidRPr="002412AB">
        <w:rPr>
          <w:rFonts w:ascii="Times New Roman" w:hAnsi="Times New Roman" w:cs="Times New Roman"/>
          <w:bCs/>
        </w:rPr>
        <w:t xml:space="preserve">previously unexplored </w:t>
      </w:r>
      <w:r>
        <w:rPr>
          <w:rFonts w:ascii="Times New Roman" w:hAnsi="Times New Roman" w:cs="Times New Roman"/>
          <w:bCs/>
        </w:rPr>
        <w:t xml:space="preserve">potential for male-biased pathology to affect transmission </w:t>
      </w:r>
      <w:r w:rsidR="00C54A45">
        <w:rPr>
          <w:rFonts w:ascii="Times New Roman" w:hAnsi="Times New Roman" w:cs="Times New Roman"/>
          <w:bCs/>
        </w:rPr>
        <w:t>using an avian host-pathogen system</w:t>
      </w:r>
      <w:r>
        <w:rPr>
          <w:rFonts w:ascii="Times New Roman" w:hAnsi="Times New Roman" w:cs="Times New Roman"/>
        </w:rPr>
        <w:t>.</w:t>
      </w:r>
      <w:r w:rsidRPr="00046057">
        <w:rPr>
          <w:rFonts w:ascii="Times New Roman" w:hAnsi="Times New Roman" w:cs="Times New Roman"/>
        </w:rPr>
        <w:t xml:space="preserve"> </w:t>
      </w:r>
      <w:r>
        <w:rPr>
          <w:rFonts w:ascii="Times New Roman" w:hAnsi="Times New Roman" w:cs="Times New Roman"/>
        </w:rPr>
        <w:t xml:space="preserve">We employ a sex-dependent multistate transmission model parameterized with isolated, individual-based experimental exposures </w:t>
      </w:r>
      <w:r w:rsidR="00D7773A">
        <w:rPr>
          <w:rFonts w:ascii="Times New Roman" w:hAnsi="Times New Roman" w:cs="Times New Roman"/>
        </w:rPr>
        <w:t xml:space="preserve">of domestic canaries </w:t>
      </w:r>
      <w:r>
        <w:rPr>
          <w:rFonts w:ascii="Times New Roman" w:hAnsi="Times New Roman" w:cs="Times New Roman"/>
        </w:rPr>
        <w:t>and experimental transmission data</w:t>
      </w:r>
      <w:r w:rsidR="00D7773A">
        <w:rPr>
          <w:rFonts w:ascii="Times New Roman" w:hAnsi="Times New Roman" w:cs="Times New Roman"/>
        </w:rPr>
        <w:t xml:space="preserve"> of house finches</w:t>
      </w:r>
      <w:r>
        <w:rPr>
          <w:rFonts w:ascii="Times New Roman" w:hAnsi="Times New Roman" w:cs="Times New Roman"/>
        </w:rPr>
        <w:t xml:space="preserve">. The experiment revealed that </w:t>
      </w:r>
      <w:r w:rsidRPr="00A476BD">
        <w:rPr>
          <w:rFonts w:ascii="Times New Roman" w:hAnsi="Times New Roman" w:cs="Times New Roman"/>
        </w:rPr>
        <w:t>male</w:t>
      </w:r>
      <w:r>
        <w:rPr>
          <w:rFonts w:ascii="Times New Roman" w:hAnsi="Times New Roman" w:cs="Times New Roman"/>
        </w:rPr>
        <w:t xml:space="preserve"> birds have shorter incubation periods,</w:t>
      </w:r>
      <w:r w:rsidRPr="00A476BD">
        <w:rPr>
          <w:rFonts w:ascii="Times New Roman" w:hAnsi="Times New Roman" w:cs="Times New Roman"/>
        </w:rPr>
        <w:t xml:space="preserve"> </w:t>
      </w:r>
      <w:r>
        <w:rPr>
          <w:rFonts w:ascii="Times New Roman" w:hAnsi="Times New Roman" w:cs="Times New Roman"/>
        </w:rPr>
        <w:t xml:space="preserve">longer </w:t>
      </w:r>
      <w:r w:rsidRPr="00A476BD">
        <w:rPr>
          <w:rFonts w:ascii="Times New Roman" w:hAnsi="Times New Roman" w:cs="Times New Roman"/>
        </w:rPr>
        <w:t xml:space="preserve">recovery </w:t>
      </w:r>
      <w:r>
        <w:rPr>
          <w:rFonts w:ascii="Times New Roman" w:hAnsi="Times New Roman" w:cs="Times New Roman"/>
        </w:rPr>
        <w:t xml:space="preserve">periods, higher </w:t>
      </w:r>
      <w:r w:rsidRPr="00A476BD">
        <w:rPr>
          <w:rFonts w:ascii="Times New Roman" w:hAnsi="Times New Roman" w:cs="Times New Roman"/>
        </w:rPr>
        <w:t>pathogen burdens</w:t>
      </w:r>
      <w:r w:rsidR="00B10BC7">
        <w:rPr>
          <w:rFonts w:ascii="Times New Roman" w:hAnsi="Times New Roman" w:cs="Times New Roman"/>
        </w:rPr>
        <w:t xml:space="preserve">, and greater disease </w:t>
      </w:r>
      <w:r w:rsidR="007E62E1">
        <w:rPr>
          <w:rFonts w:ascii="Times New Roman" w:hAnsi="Times New Roman" w:cs="Times New Roman"/>
        </w:rPr>
        <w:t>pathology</w:t>
      </w:r>
      <w:r w:rsidR="00B10BC7">
        <w:rPr>
          <w:rFonts w:ascii="Times New Roman" w:hAnsi="Times New Roman" w:cs="Times New Roman"/>
        </w:rPr>
        <w:t>,</w:t>
      </w:r>
      <w:r>
        <w:rPr>
          <w:rFonts w:ascii="Times New Roman" w:hAnsi="Times New Roman" w:cs="Times New Roman"/>
        </w:rPr>
        <w:t xml:space="preserve"> than females. Our model revealed that male-biased pathology led to epidemic size rapidly increasing with the proportion of male birds, with a nearly 16-fold increase in total epidemic size </w:t>
      </w:r>
      <w:r w:rsidRPr="006803FE">
        <w:rPr>
          <w:rFonts w:ascii="Times New Roman" w:hAnsi="Times New Roman" w:cs="Times New Roman"/>
        </w:rPr>
        <w:t xml:space="preserve">from </w:t>
      </w:r>
      <w:r>
        <w:rPr>
          <w:rFonts w:ascii="Times New Roman" w:hAnsi="Times New Roman" w:cs="Times New Roman"/>
        </w:rPr>
        <w:t>an</w:t>
      </w:r>
      <w:r w:rsidRPr="006803FE">
        <w:rPr>
          <w:rFonts w:ascii="Times New Roman" w:hAnsi="Times New Roman" w:cs="Times New Roman"/>
        </w:rPr>
        <w:t xml:space="preserve"> all-female to</w:t>
      </w:r>
      <w:r>
        <w:rPr>
          <w:rFonts w:ascii="Times New Roman" w:hAnsi="Times New Roman" w:cs="Times New Roman"/>
        </w:rPr>
        <w:t xml:space="preserve"> an</w:t>
      </w:r>
      <w:r w:rsidRPr="006803FE">
        <w:rPr>
          <w:rFonts w:ascii="Times New Roman" w:hAnsi="Times New Roman" w:cs="Times New Roman"/>
        </w:rPr>
        <w:t xml:space="preserve"> all-male </w:t>
      </w:r>
      <w:r>
        <w:rPr>
          <w:rFonts w:ascii="Times New Roman" w:hAnsi="Times New Roman" w:cs="Times New Roman"/>
        </w:rPr>
        <w:t xml:space="preserve">simulation. Our results </w:t>
      </w:r>
      <w:r w:rsidR="00A222B9">
        <w:rPr>
          <w:rFonts w:ascii="Times New Roman" w:hAnsi="Times New Roman" w:cs="Times New Roman"/>
        </w:rPr>
        <w:t>demonstrate</w:t>
      </w:r>
      <w:r>
        <w:rPr>
          <w:rFonts w:ascii="Times New Roman" w:hAnsi="Times New Roman" w:cs="Times New Roman"/>
        </w:rPr>
        <w:t xml:space="preserve"> that female-biased resistance</w:t>
      </w:r>
      <w:r w:rsidR="00A222B9">
        <w:rPr>
          <w:rFonts w:ascii="Times New Roman" w:hAnsi="Times New Roman" w:cs="Times New Roman"/>
        </w:rPr>
        <w:t xml:space="preserve">, independent of male </w:t>
      </w:r>
      <w:proofErr w:type="spellStart"/>
      <w:r w:rsidR="00A222B9">
        <w:rPr>
          <w:rFonts w:ascii="Times New Roman" w:hAnsi="Times New Roman" w:cs="Times New Roman"/>
        </w:rPr>
        <w:t>behaviour</w:t>
      </w:r>
      <w:proofErr w:type="spellEnd"/>
      <w:r w:rsidR="00A222B9">
        <w:rPr>
          <w:rFonts w:ascii="Times New Roman" w:hAnsi="Times New Roman" w:cs="Times New Roman"/>
        </w:rPr>
        <w:t>, can drive sex-dependent transmission in wildlife</w:t>
      </w:r>
      <w:r w:rsidR="001B1605">
        <w:rPr>
          <w:rFonts w:ascii="Times New Roman" w:hAnsi="Times New Roman" w:cs="Times New Roman"/>
        </w:rPr>
        <w:t>, indicating that sex-based differences in immune function, not just differences in exposure risk, can shape epidemic dynamics</w:t>
      </w:r>
      <w:r>
        <w:rPr>
          <w:rFonts w:ascii="Times New Roman" w:hAnsi="Times New Roman" w:cs="Times New Roman"/>
        </w:rPr>
        <w:t xml:space="preserve">. </w:t>
      </w:r>
      <w:r>
        <w:rPr>
          <w:rFonts w:ascii="Times New Roman" w:hAnsi="Times New Roman" w:cs="Times New Roman"/>
        </w:rPr>
        <w:br w:type="page"/>
      </w:r>
    </w:p>
    <w:p w14:paraId="717A62B1" w14:textId="77777777" w:rsidR="00FE2A33" w:rsidRPr="0060050A" w:rsidRDefault="00FE2A33" w:rsidP="00FE2A33">
      <w:pPr>
        <w:spacing w:before="240"/>
        <w:rPr>
          <w:rFonts w:ascii="Times New Roman" w:hAnsi="Times New Roman" w:cs="Times New Roman"/>
          <w:b/>
        </w:rPr>
      </w:pPr>
      <w:r w:rsidRPr="0060050A">
        <w:rPr>
          <w:rFonts w:ascii="Times New Roman" w:hAnsi="Times New Roman" w:cs="Times New Roman"/>
          <w:b/>
        </w:rPr>
        <w:lastRenderedPageBreak/>
        <w:t>Introduction</w:t>
      </w:r>
    </w:p>
    <w:p w14:paraId="7F292598" w14:textId="414BE62B" w:rsidR="00FE2A33" w:rsidRPr="002259B2" w:rsidRDefault="00FE2A33" w:rsidP="00FE2A33">
      <w:pPr>
        <w:spacing w:before="240" w:line="480" w:lineRule="auto"/>
        <w:ind w:firstLine="720"/>
        <w:rPr>
          <w:rFonts w:ascii="Times New Roman" w:hAnsi="Times New Roman" w:cs="Times New Roman"/>
          <w:bCs/>
        </w:rPr>
      </w:pPr>
      <w:r w:rsidRPr="0060050A">
        <w:rPr>
          <w:rFonts w:ascii="Times New Roman" w:hAnsi="Times New Roman" w:cs="Times New Roman"/>
          <w:bCs/>
        </w:rPr>
        <w:t xml:space="preserve">Heterogeneity </w:t>
      </w:r>
      <w:r>
        <w:rPr>
          <w:rFonts w:ascii="Times New Roman" w:hAnsi="Times New Roman" w:cs="Times New Roman"/>
          <w:bCs/>
        </w:rPr>
        <w:t>in exposure risk</w:t>
      </w:r>
      <w:r w:rsidR="007E62E1">
        <w:rPr>
          <w:rFonts w:ascii="Times New Roman" w:hAnsi="Times New Roman" w:cs="Times New Roman"/>
          <w:bCs/>
        </w:rPr>
        <w:t xml:space="preserve"> (</w:t>
      </w:r>
      <w:r w:rsidR="007E62E1" w:rsidRPr="00DA6D81">
        <w:rPr>
          <w:rFonts w:ascii="Times New Roman" w:hAnsi="Times New Roman" w:cs="Times New Roman"/>
          <w:bCs/>
          <w:i/>
          <w:iCs/>
        </w:rPr>
        <w:t>the likelihood of being exposed</w:t>
      </w:r>
      <w:r w:rsidR="007E62E1">
        <w:rPr>
          <w:rFonts w:ascii="Times New Roman" w:hAnsi="Times New Roman" w:cs="Times New Roman"/>
          <w:bCs/>
          <w:i/>
          <w:iCs/>
        </w:rPr>
        <w:t xml:space="preserve"> to a pathogen</w:t>
      </w:r>
      <w:r w:rsidR="007E62E1">
        <w:rPr>
          <w:rFonts w:ascii="Times New Roman" w:hAnsi="Times New Roman" w:cs="Times New Roman"/>
          <w:bCs/>
        </w:rPr>
        <w:t>)</w:t>
      </w:r>
      <w:r>
        <w:rPr>
          <w:rFonts w:ascii="Times New Roman" w:hAnsi="Times New Roman" w:cs="Times New Roman"/>
          <w:bCs/>
        </w:rPr>
        <w:t>, resistance</w:t>
      </w:r>
      <w:r w:rsidR="007E62E1">
        <w:rPr>
          <w:rFonts w:ascii="Times New Roman" w:hAnsi="Times New Roman" w:cs="Times New Roman"/>
          <w:bCs/>
        </w:rPr>
        <w:t xml:space="preserve"> (</w:t>
      </w:r>
      <w:r w:rsidR="007E62E1" w:rsidRPr="00DA6D81">
        <w:rPr>
          <w:rFonts w:ascii="Times New Roman" w:hAnsi="Times New Roman" w:cs="Times New Roman"/>
          <w:i/>
          <w:iCs/>
        </w:rPr>
        <w:t>ability to prevent or limit pathogen growth</w:t>
      </w:r>
      <w:r w:rsidR="007E62E1">
        <w:rPr>
          <w:rFonts w:ascii="Times New Roman" w:hAnsi="Times New Roman" w:cs="Times New Roman"/>
          <w:bCs/>
        </w:rPr>
        <w:t>)</w:t>
      </w:r>
      <w:r>
        <w:rPr>
          <w:rFonts w:ascii="Times New Roman" w:hAnsi="Times New Roman" w:cs="Times New Roman"/>
          <w:bCs/>
        </w:rPr>
        <w:t xml:space="preserve">, and </w:t>
      </w:r>
      <w:r w:rsidR="007E62E1">
        <w:rPr>
          <w:rFonts w:ascii="Times New Roman" w:hAnsi="Times New Roman" w:cs="Times New Roman"/>
          <w:bCs/>
        </w:rPr>
        <w:t>pathology (</w:t>
      </w:r>
      <w:r w:rsidR="007E62E1">
        <w:rPr>
          <w:rFonts w:ascii="Times New Roman" w:hAnsi="Times New Roman" w:cs="Times New Roman"/>
          <w:i/>
          <w:iCs/>
        </w:rPr>
        <w:t xml:space="preserve">the intensity of </w:t>
      </w:r>
      <w:r w:rsidR="007E62E1" w:rsidRPr="00DA6D81">
        <w:rPr>
          <w:rFonts w:ascii="Times New Roman" w:hAnsi="Times New Roman" w:cs="Times New Roman"/>
          <w:i/>
          <w:iCs/>
        </w:rPr>
        <w:t>symptomatic disease</w:t>
      </w:r>
      <w:r w:rsidR="007E62E1">
        <w:rPr>
          <w:rFonts w:ascii="Times New Roman" w:hAnsi="Times New Roman" w:cs="Times New Roman"/>
          <w:bCs/>
        </w:rPr>
        <w:t>)</w:t>
      </w:r>
      <w:r>
        <w:rPr>
          <w:rFonts w:ascii="Times New Roman" w:hAnsi="Times New Roman" w:cs="Times New Roman"/>
          <w:bCs/>
        </w:rPr>
        <w:t xml:space="preserve"> can have major impacts on transmission dynamics </w:t>
      </w:r>
      <w:r>
        <w:rPr>
          <w:rFonts w:ascii="Times New Roman" w:hAnsi="Times New Roman" w:cs="Times New Roman"/>
          <w:bCs/>
        </w:rPr>
        <w:fldChar w:fldCharType="begin"/>
      </w:r>
      <w:r>
        <w:rPr>
          <w:rFonts w:ascii="Times New Roman" w:hAnsi="Times New Roman" w:cs="Times New Roman"/>
          <w:bCs/>
        </w:rPr>
        <w:instrText xml:space="preserve"> ADDIN ZOTERO_ITEM CSL_CITATION {"citationID":"CXSGvnTE","properties":{"formattedCitation":"(Paull et al., 2012)","plainCitation":"(Paull et al., 2012)","noteIndex":0},"citationItems":[{"id":13145,"uris":["http://zotero.org/users/6240348/items/DJQNTYNT"],"itemData":{"id":13145,"type":"article-journal","container-title":"Frontiers in Ecology and the Environment","DOI":"10.1890/110111","ISSN":"1540-9295, 1540-9309","issue":"2","journalAbbreviation":"Frontiers in Ecology and the Environment","language":"en","page":"75-82","source":"DOI.org (Crossref)","title":"From superspreaders to disease hotspots: linking transmission across hosts and space","title-short":"From superspreaders to disease hotspots","volume":"10","author":[{"family":"Paull","given":"Sara H"},{"family":"Song","given":"Sejin"},{"family":"McClure","given":"Katherine M"},{"family":"Sackett","given":"Loren C"},{"family":"Kilpatrick","given":"A Marm"},{"family":"Johnson","given":"Pieter TJ"}],"issued":{"date-parts":[["2012",3]]}}}],"schema":"https://github.com/citation-style-language/schema/raw/master/csl-citation.json"} </w:instrText>
      </w:r>
      <w:r>
        <w:rPr>
          <w:rFonts w:ascii="Times New Roman" w:hAnsi="Times New Roman" w:cs="Times New Roman"/>
          <w:bCs/>
        </w:rPr>
        <w:fldChar w:fldCharType="separate"/>
      </w:r>
      <w:r>
        <w:rPr>
          <w:rFonts w:ascii="Times New Roman" w:hAnsi="Times New Roman" w:cs="Times New Roman"/>
        </w:rPr>
        <w:t>(Paull et al., 2012)</w:t>
      </w:r>
      <w:r>
        <w:rPr>
          <w:rFonts w:ascii="Times New Roman" w:hAnsi="Times New Roman" w:cs="Times New Roman"/>
          <w:bCs/>
        </w:rPr>
        <w:fldChar w:fldCharType="end"/>
      </w:r>
      <w:r>
        <w:rPr>
          <w:rFonts w:ascii="Times New Roman" w:hAnsi="Times New Roman" w:cs="Times New Roman"/>
          <w:bCs/>
        </w:rPr>
        <w:t xml:space="preserve">. Transmission estimates that fail to account for this heterogeneity can result in poor estimates of disease dynamics and ineffective disease control measures </w:t>
      </w:r>
      <w:r>
        <w:rPr>
          <w:rFonts w:ascii="Times New Roman" w:hAnsi="Times New Roman" w:cs="Times New Roman"/>
          <w:bCs/>
        </w:rPr>
        <w:fldChar w:fldCharType="begin"/>
      </w:r>
      <w:r>
        <w:rPr>
          <w:rFonts w:ascii="Times New Roman" w:hAnsi="Times New Roman" w:cs="Times New Roman"/>
          <w:bCs/>
        </w:rPr>
        <w:instrText xml:space="preserve"> ADDIN ZOTERO_ITEM CSL_CITATION {"citationID":"yWun468b","properties":{"formattedCitation":"(Lloyd-Smith et al., 2005)","plainCitation":"(Lloyd-Smith et al., 2005)","noteIndex":0},"citationItems":[{"id":13146,"uris":["http://zotero.org/users/6240348/items/UZGPA83U"],"itemData":{"id":13146,"type":"article-journal","container-title":"Nature","DOI":"10.1038/nature04153","ISSN":"0028-0836, 1476-4687","issue":"7066","journalAbbreviation":"Nature","language":"en","page":"355-359","source":"DOI.org (Crossref)","title":"Superspreading and the effect of individual variation on disease emergence","volume":"438","author":[{"family":"Lloyd-Smith","given":"J. O."},{"family":"Schreiber","given":"S. J."},{"family":"Kopp","given":"P. E."},{"family":"Getz","given":"W. M."}],"issued":{"date-parts":[["2005",11]]}}}],"schema":"https://github.com/citation-style-language/schema/raw/master/csl-citation.json"} </w:instrText>
      </w:r>
      <w:r>
        <w:rPr>
          <w:rFonts w:ascii="Times New Roman" w:hAnsi="Times New Roman" w:cs="Times New Roman"/>
          <w:bCs/>
        </w:rPr>
        <w:fldChar w:fldCharType="separate"/>
      </w:r>
      <w:r>
        <w:rPr>
          <w:rFonts w:ascii="Times New Roman" w:hAnsi="Times New Roman" w:cs="Times New Roman"/>
        </w:rPr>
        <w:t>(Lloyd-Smith et al., 2005)</w:t>
      </w:r>
      <w:r>
        <w:rPr>
          <w:rFonts w:ascii="Times New Roman" w:hAnsi="Times New Roman" w:cs="Times New Roman"/>
          <w:bCs/>
        </w:rPr>
        <w:fldChar w:fldCharType="end"/>
      </w:r>
      <w:r>
        <w:rPr>
          <w:rFonts w:ascii="Times New Roman" w:hAnsi="Times New Roman" w:cs="Times New Roman"/>
          <w:bCs/>
        </w:rPr>
        <w:t xml:space="preserve">. One such driver of heterogeneity is host sex. Sex-based differences in behavior (e.g., frequency and types of social interactions) and physiology contribute to differences in exposure risk, disease susceptibility and pathology, and transmission </w:t>
      </w:r>
      <w:r>
        <w:rPr>
          <w:rFonts w:ascii="Times New Roman" w:hAnsi="Times New Roman" w:cs="Times New Roman"/>
          <w:bCs/>
        </w:rPr>
        <w:fldChar w:fldCharType="begin"/>
      </w:r>
      <w:r>
        <w:rPr>
          <w:rFonts w:ascii="Times New Roman" w:hAnsi="Times New Roman" w:cs="Times New Roman"/>
          <w:bCs/>
        </w:rPr>
        <w:instrText xml:space="preserve"> ADDIN ZOTERO_ITEM CSL_CITATION {"citationID":"a4BI3sLI","properties":{"formattedCitation":"(Grear et al., 2009; Hawkins et al., 2006; McCurdy et al., 1998; Mougeot et al., 2005; Nielsen et al., 2020; Perkins et al., 2008; Zuk &amp; McKean, 1996)","plainCitation":"(Grear et al., 2009; Hawkins et al., 2006; McCurdy et al., 1998; Mougeot et al., 2005; Nielsen et al., 2020; Perkins et al., 2008; Zuk &amp; McKean, 1996)","noteIndex":0},"citationItems":[{"id":13140,"uris":["http://zotero.org/users/6240348/items/GNRC9MYV"],"itemData":{"id":13140,"type":"article-journal","container-title":"Ecology Letters","DOI":"10.1111/j.1461-0248.2009.01306.x","ISSN":"1461023X, 14610248","issue":"6","language":"en","page":"528-537","source":"DOI.org (Crossref)","title":"Does elevated testosterone result in increased exposure and transmission of parasites?","volume":"12","author":[{"family":"Grear","given":"Daniel A."},{"family":"Perkins","given":"Sarah E."},{"family":"Hudson","given":"Peter J."}],"issued":{"date-parts":[["2009",6]]}}},{"id":13141,"uris":["http://zotero.org/users/6240348/items/HK7U6QAM"],"itemData":{"id":13141,"type":"article-journal","container-title":"Biological Conservation","DOI":"10.1016/j.biocon.2006.04.010","ISSN":"00063207","issue":"2","journalAbbreviation":"Biological Conservation","language":"en","page":"307-324","source":"DOI.org (Crossref)","title":"Emerging disease and population decline of an island endemic, the Tasmanian devil Sarcophilus harrisii","volume":"131","author":[{"family":"Hawkins","given":"C.E."},{"family":"Baars","given":"C."},{"family":"Hesterman","given":"H."},{"family":"Hocking","given":"G.J."},{"family":"Jones","given":"M.E."},{"family":"Lazenby","given":"B."},{"family":"Mann","given":"D."},{"family":"Mooney","given":"N."},{"family":"Pemberton","given":"D."},{"family":"Pyecroft","given":"S."},{"family":"Restani","given":"M."},{"family":"Wiersma","given":"J."}],"issued":{"date-parts":[["2006",8]]}}},{"id":13169,"uris":["http://zotero.org/users/6240348/items/UWVBWJHG"],"itemData":{"id":13169,"type":"article-journal","container-title":"Oikos","DOI":"10.2307/3546970","ISSN":"00301299","issue":"2","journalAbbreviation":"Oikos","page":"303","source":"DOI.org (Crossref)","title":"Sex-Biased Parasitism of Avian Hosts: Relations to Blood Parasite Taxon and Mating System","title-short":"Sex-Biased Parasitism of Avian Hosts","volume":"82","author":[{"family":"McCurdy","given":"Dean G."},{"family":"Shutler","given":"Dave"},{"family":"Mullie","given":"Adele"},{"family":"Forbes","given":"Mark R."}],"issued":{"date-parts":[["1998",6]]}}},{"id":13137,"uris":["http://zotero.org/users/6240348/items/8WFIY5EQ"],"itemData":{"id":13137,"type":"article-journal","container-title":"The American Naturalist","DOI":"10.1086/431256","ISSN":"0003-0147, 1537-5323","issue":"2","journalAbbreviation":"The American Naturalist","language":"en","page":"158-168","source":"DOI.org (Crossref)","title":"Separating Behavioral and Physiological Mechanisms in Testosterone‐Mediated Trade‐Offs","volume":"166","author":[{"family":"Mougeot","given":"François"},{"family":"Redpath","given":"Stephen M."},{"family":"Piertney","given":"Stuart B."},{"family":"Hudson","given":"Peter J."}],"issued":{"date-parts":[["2005",8]]}}},{"id":13133,"uris":["http://zotero.org/users/6240348/items/G5VUNX96"],"itemData":{"id":13133,"type":"article-journal","container-title":"Journal of Avian Biology","DOI":"10.1111/jav.02472","ISSN":"0908-8857, 1600-048X","issue":"10","journalAbbreviation":"J Avian Biol","language":"en","page":"jav.02472","source":"DOI.org (Crossref)","title":"Host sex and age typically explain variation in parasitism of rock ptarmigan: implications for identifying determinants of exposure and susceptibility","title-short":"Host sex and age typically explain variation in parasitism of rock ptarmigan","volume":"51","author":[{"family":"Nielsen","given":"Ó. K."},{"family":"Morrill","given":"A."},{"family":"Skírnisson","given":"K."},{"family":"Stenkewitz","given":"U."},{"family":"Pálsdóttir","given":"G. R."},{"family":"Forbes","given":"M. R."}],"issued":{"date-parts":[["2020",10]]}}},{"id":13129,"uris":["http://zotero.org/users/6240348/items/6KP5VPF4"],"itemData":{"id":13129,"type":"article-journal","abstract":"SUMMARY\n            \n              Mathematical models of disease dynamics tend to assume that individuals within a population mix at random and so transmission is random, and yet, in reality social structure creates heterogeneous contact patterns. We investigated the effect of heterogeneity in host contact patterns on potential macroparasite transmission by first quantifying the level of assortativity in a socially structured wild rodent population (\n              Apodemus flavicollis\n              ) with respect to the directly-transmitted macroparasitic helminth,\n              Heligmosomoides polygyrus\n              . We found the population to be disassortatively mixed (i.e. male mice mixing with female mice more often than same sex mixing) at a constant level over time. The macroparasite\n              H. polygyrus\n              has previously been shown to exhibit male-biased transmission so we used a Susceptible-Infected (SI) mathematical model to simulate the effect of increasing strengths of male-biased transmission on the prevalence of the macroparasite using empirically-derived transmission networks. When transmission was equal between the sexes the model predicted macroparasite prevalence to be 73% and infection was male biased (82% of infection in the male mice). With a male-bias in transmission ten times that of the females, the expected macroparasite prevalence was 50% and was equally prevalent in both sexes, results that both most closely resembled empirical dynamics. As such, </w:instrText>
      </w:r>
      <w:r w:rsidRPr="002259B2">
        <w:rPr>
          <w:rFonts w:ascii="Times New Roman" w:hAnsi="Times New Roman" w:cs="Times New Roman"/>
          <w:bCs/>
        </w:rPr>
        <w:instrText xml:space="preserve">disassortative mixing alone did not produce macroparasite dynamics analogous to those from empirical observations; a strong male-bias in transmission was also required. We discuss the relevance of our results in the context of network models for transmission dynamics and control.","container-title":"Parasitology","DOI":"10.1017/S0031182008000449","ISSN":"0031-1820, 1469-8161","issue":"13","journalAbbreviation":"Parasitology","language":"en","page":"1561-1569","source":"DOI.org (Crossref)","title":"The effects of social structure and sex-biased transmission on macroparasite infection","volume":"135","author":[{"family":"Perkins","given":"S. E."},{"family":"Ferrari","given":"M. F."},{"family":"Hudson","given":"P. J."}],"issued":{"date-parts":[["2008",11]]}}},{"id":13142,"uris":["http://zotero.org/users/6240348/items/LS4LAJ3I"],"itemData":{"id":13142,"type":"article-journal","container-title":"International Journal for Parasitology","DOI":"10.1016/S0020-7519(96)80001-4","ISSN":"00207519","issue":"10","journalAbbreviation":"International Journal for Parasitology","language":"en","page":"1009-1024","source":"DOI.org (Crossref)","title":"Sex differences in parasite infections: Patterns and processes","title-short":"Sex differences in parasite infections","volume":"26","author":[{"family":"Zuk","given":"Marlene"},{"family":"McKean","given":"Kurt A."}],"issued":{"date-parts":[["1996",10]]}}}],"schema":"https://github.com/citation-style-language/schema/raw/master/csl-citation.json"} </w:instrText>
      </w:r>
      <w:r>
        <w:rPr>
          <w:rFonts w:ascii="Times New Roman" w:hAnsi="Times New Roman" w:cs="Times New Roman"/>
          <w:bCs/>
        </w:rPr>
        <w:fldChar w:fldCharType="separate"/>
      </w:r>
      <w:r w:rsidRPr="002259B2">
        <w:rPr>
          <w:rFonts w:ascii="Times New Roman" w:hAnsi="Times New Roman" w:cs="Times New Roman"/>
          <w:bCs/>
          <w:noProof/>
        </w:rPr>
        <w:t>(Grear et al., 2009; Hawkins et al., 2006; McCurdy et al., 1998; Mougeot et al., 2005; Nielsen et al., 2020; Perkins et al., 2008; Zuk &amp; McKean, 1996)</w:t>
      </w:r>
      <w:r>
        <w:rPr>
          <w:rFonts w:ascii="Times New Roman" w:hAnsi="Times New Roman" w:cs="Times New Roman"/>
          <w:bCs/>
        </w:rPr>
        <w:fldChar w:fldCharType="end"/>
      </w:r>
      <w:r w:rsidRPr="002259B2">
        <w:rPr>
          <w:rFonts w:ascii="Times New Roman" w:hAnsi="Times New Roman" w:cs="Times New Roman"/>
          <w:bCs/>
        </w:rPr>
        <w:t xml:space="preserve">. </w:t>
      </w:r>
    </w:p>
    <w:p w14:paraId="68943DD0" w14:textId="01708421" w:rsidR="00FE2A33" w:rsidRDefault="00FE2A33" w:rsidP="00FE2A33">
      <w:pPr>
        <w:spacing w:before="240" w:line="480" w:lineRule="auto"/>
        <w:ind w:firstLine="720"/>
        <w:rPr>
          <w:rFonts w:ascii="Times New Roman" w:hAnsi="Times New Roman" w:cs="Times New Roman"/>
          <w:bCs/>
        </w:rPr>
      </w:pPr>
      <w:r>
        <w:rPr>
          <w:rFonts w:ascii="Times New Roman" w:hAnsi="Times New Roman" w:cs="Times New Roman"/>
          <w:bCs/>
        </w:rPr>
        <w:t xml:space="preserve">Some sex-biased </w:t>
      </w:r>
      <w:proofErr w:type="spellStart"/>
      <w:r>
        <w:rPr>
          <w:rFonts w:ascii="Times New Roman" w:hAnsi="Times New Roman" w:cs="Times New Roman"/>
          <w:bCs/>
        </w:rPr>
        <w:t>behavioural</w:t>
      </w:r>
      <w:proofErr w:type="spellEnd"/>
      <w:r>
        <w:rPr>
          <w:rFonts w:ascii="Times New Roman" w:hAnsi="Times New Roman" w:cs="Times New Roman"/>
          <w:bCs/>
        </w:rPr>
        <w:t xml:space="preserve"> and physiological traits contributing to host heterogeneity are intertwined, potentially resulting in additive or multiplicative effects on disease transmission</w:t>
      </w:r>
      <w:r w:rsidR="00A222B9">
        <w:rPr>
          <w:rFonts w:ascii="Times New Roman" w:hAnsi="Times New Roman" w:cs="Times New Roman"/>
          <w:bCs/>
        </w:rPr>
        <w:t xml:space="preserve"> that can be hard to disentangle</w:t>
      </w:r>
      <w:r>
        <w:rPr>
          <w:rFonts w:ascii="Times New Roman" w:hAnsi="Times New Roman" w:cs="Times New Roman"/>
          <w:bCs/>
        </w:rPr>
        <w:t xml:space="preserve">. For example, in vertebrate systems, males are generally thought to be more likely to become infected and harbor larger infection burdens than females </w:t>
      </w:r>
      <w:r>
        <w:rPr>
          <w:rFonts w:ascii="Times New Roman" w:hAnsi="Times New Roman" w:cs="Times New Roman"/>
          <w:bCs/>
        </w:rPr>
        <w:fldChar w:fldCharType="begin"/>
      </w:r>
      <w:r>
        <w:rPr>
          <w:rFonts w:ascii="Times New Roman" w:hAnsi="Times New Roman" w:cs="Times New Roman"/>
          <w:bCs/>
        </w:rPr>
        <w:instrText xml:space="preserve"> ADDIN ZOTERO_ITEM CSL_CITATION {"citationID":"kgilKvHO","properties":{"formattedCitation":"(Zuk &amp; McKean, 1996)","plainCitation":"(Zuk &amp; McKean, 1996)","noteIndex":0},"citationItems":[{"id":13142,"uris":["http://zotero.org/users/6240348/items/LS4LAJ3I"],"itemData":{"id":13142,"type":"article-journal","container-title":"International Journal for Parasitology","DOI":"10.1016/S0020-7519(96)80001-4","ISSN":"00207519","issue":"10","journalAbbreviation":"International Journal for Parasitology","language":"en","page":"1009-1024","source":"DOI.org (Crossref)","title":"Sex differences in parasite infections: Patterns and processes","title-short":"Sex differences in parasite infections","volume":"26","author":[{"family":"Zuk","given":"Marlene"},{"family":"McKean","given":"Kurt A."}],"issued":{"date-parts":[["1996",10]]}}}],"schema":"https://github.com/citation-style-language/schema/raw/master/csl-citation.json"} </w:instrText>
      </w:r>
      <w:r>
        <w:rPr>
          <w:rFonts w:ascii="Times New Roman" w:hAnsi="Times New Roman" w:cs="Times New Roman"/>
          <w:bCs/>
        </w:rPr>
        <w:fldChar w:fldCharType="separate"/>
      </w:r>
      <w:r>
        <w:rPr>
          <w:rFonts w:ascii="Times New Roman" w:hAnsi="Times New Roman" w:cs="Times New Roman"/>
        </w:rPr>
        <w:t>(Zuk &amp; McKean, 1996)</w:t>
      </w:r>
      <w:r>
        <w:rPr>
          <w:rFonts w:ascii="Times New Roman" w:hAnsi="Times New Roman" w:cs="Times New Roman"/>
          <w:bCs/>
        </w:rPr>
        <w:fldChar w:fldCharType="end"/>
      </w:r>
      <w:r>
        <w:rPr>
          <w:rFonts w:ascii="Times New Roman" w:hAnsi="Times New Roman" w:cs="Times New Roman"/>
          <w:bCs/>
        </w:rPr>
        <w:t xml:space="preserve">. Male-biased territorial </w:t>
      </w:r>
      <w:proofErr w:type="spellStart"/>
      <w:r>
        <w:rPr>
          <w:rFonts w:ascii="Times New Roman" w:hAnsi="Times New Roman" w:cs="Times New Roman"/>
          <w:bCs/>
        </w:rPr>
        <w:t>behaviours</w:t>
      </w:r>
      <w:proofErr w:type="spellEnd"/>
      <w:r>
        <w:rPr>
          <w:rFonts w:ascii="Times New Roman" w:hAnsi="Times New Roman" w:cs="Times New Roman"/>
          <w:bCs/>
        </w:rPr>
        <w:t xml:space="preserve"> can result in males having larger range sizes, contact networks, and aggressive encounters, thus increasing their exposure and transmission risks </w:t>
      </w:r>
      <w:r>
        <w:rPr>
          <w:rFonts w:ascii="Times New Roman" w:hAnsi="Times New Roman" w:cs="Times New Roman"/>
          <w:bCs/>
        </w:rPr>
        <w:fldChar w:fldCharType="begin"/>
      </w:r>
      <w:r>
        <w:rPr>
          <w:rFonts w:ascii="Times New Roman" w:hAnsi="Times New Roman" w:cs="Times New Roman"/>
          <w:bCs/>
        </w:rPr>
        <w:instrText xml:space="preserve"> ADDIN ZOTERO_ITEM CSL_CITATION {"citationID":"A0n4x28r","properties":{"formattedCitation":"(Grear et al., 2009; Hawkins et al., 2006; Miller &amp; Conner, 2005)","plainCitation":"(Grear et al., 2009; Hawkins et al., 2006; Miller &amp; Conner, 2005)","noteIndex":0},"citationItems":[{"id":13139,"uris":["http://zotero.org/users/6240348/items/XTD9Y34Y"],"itemData":{"id":13139,"type":"article-journal","container-title":"Journal of Wildlife Diseases","DOI":"10.7589/0090-3558-41.2.275","ISSN":"0090-3558","issue":"2","journalAbbreviation":"Journal of Wildlife Diseases","language":"en","page":"275-290","source":"DOI.org (Crossref)","title":"Epidemiology of chronic wasting disease in free-ranging mule deer: spatial, temporal, and demographic influences on observed prevalence patterns","title-short":"EPIDEMIOLOGY OF CHRONIC WASTING DISEASE IN FREE-RANGING MULE DEER","volume":"41","author":[{"family":"Miller","given":"Michael W."},{"family":"Conner","given":"Mary M."}],"issued":{"date-parts":[["2005",4]]}}},{"id":13141,"uris":["http://zotero.org/users/6240348/items/HK7U6QAM"],"itemData":{"id":13141,"type":"article-journal","container-title":"Biological Conservation","DOI":"10.1016/j.biocon.2006.04.010","ISSN":"00063207","issue":"2","journalAbbreviation":"Biological Conservation","language":"en","page":"307-324","source":"DOI.org (Crossref)","title":"Emerging disease and population decline of an island endemic, the Tasmanian devil Sarcophilus harrisii","volume":"131","author":[{"family":"Hawkins","given":"C.E."},{"family":"Baars","given":"C."},{"family":"Hesterman","given":"H."},{"family":"Hocking","given":"G.J."},{"family":"Jones","given":"M.E."},{"family":"Lazenby","given":"B."},{"family":"Mann","given":"D."},{"family":"Mooney","given":"N."},{"family":"Pemberton","given":"D."},{"family":"Pyecroft","given":"S."},{"family":"Restani","given":"M."},{"family":"Wiersma","given":"J."}],"issued":{"date-parts":[["2006",8]]}}},{"id":13140,"uris":["http://zotero.org/users/6240348/items/GNRC9MYV"],"itemData":{"id":13140,"type":"article-journal","container-title":"Ecology Letters","DOI":"10.1111/j.1461-0248.2009.01306.x","ISSN":"1461023X, 14610248","issue":"6","language":"en","page":"528-537","source":"DOI.org (Crossref)","title":"Does elevated testosterone result in increased exposure and transmission of parasites?","volume":"12","author":[{"family":"Grear","given":"Daniel A."},{"family":"Perkins","given":"Sarah E."},{"family":"Hudson","given":"Peter J."}],"issued":{"date-parts":[["2009",6]]}}}],"schema":"https://github.com/citation-style-language/schema/raw/master/csl-citation.json"} </w:instrText>
      </w:r>
      <w:r>
        <w:rPr>
          <w:rFonts w:ascii="Times New Roman" w:hAnsi="Times New Roman" w:cs="Times New Roman"/>
          <w:bCs/>
        </w:rPr>
        <w:fldChar w:fldCharType="separate"/>
      </w:r>
      <w:r>
        <w:rPr>
          <w:rFonts w:ascii="Times New Roman" w:hAnsi="Times New Roman" w:cs="Times New Roman"/>
        </w:rPr>
        <w:t>(Grear et al., 2009; Hawkins et al., 2006; Miller &amp; Conner, 2005)</w:t>
      </w:r>
      <w:r>
        <w:rPr>
          <w:rFonts w:ascii="Times New Roman" w:hAnsi="Times New Roman" w:cs="Times New Roman"/>
          <w:bCs/>
        </w:rPr>
        <w:fldChar w:fldCharType="end"/>
      </w:r>
      <w:r>
        <w:rPr>
          <w:rFonts w:ascii="Times New Roman" w:hAnsi="Times New Roman" w:cs="Times New Roman"/>
          <w:bCs/>
        </w:rPr>
        <w:t xml:space="preserve">. Simultaneously, the propensity for territorial </w:t>
      </w:r>
      <w:proofErr w:type="spellStart"/>
      <w:r>
        <w:rPr>
          <w:rFonts w:ascii="Times New Roman" w:hAnsi="Times New Roman" w:cs="Times New Roman"/>
          <w:bCs/>
        </w:rPr>
        <w:t>behaviour</w:t>
      </w:r>
      <w:proofErr w:type="spellEnd"/>
      <w:r>
        <w:rPr>
          <w:rFonts w:ascii="Times New Roman" w:hAnsi="Times New Roman" w:cs="Times New Roman"/>
          <w:bCs/>
        </w:rPr>
        <w:t xml:space="preserve"> and aggression in males is often associated with increased stress and testosterone, both of which can be immunosuppressive </w:t>
      </w:r>
      <w:r>
        <w:rPr>
          <w:rFonts w:ascii="Times New Roman" w:hAnsi="Times New Roman" w:cs="Times New Roman"/>
          <w:bCs/>
        </w:rPr>
        <w:fldChar w:fldCharType="begin"/>
      </w:r>
      <w:r>
        <w:rPr>
          <w:rFonts w:ascii="Times New Roman" w:hAnsi="Times New Roman" w:cs="Times New Roman"/>
          <w:bCs/>
        </w:rPr>
        <w:instrText xml:space="preserve"> ADDIN ZOTERO_ITEM CSL_CITATION {"citationID":"tXndMhRB","properties":{"formattedCitation":"(Duckworth et al., 2001; Ferrari et al., 2004; Grear et al., 2009; Hawley, 2006; Love et al., 2017; Mougeot et al., 2005; Zuk &amp; McKean, 1996)","plainCitation":"(Duckworth et al., 2001; Ferrari et al., 2004; Grear et al., 2009; Hawley, 2006; Love et al., 2017; Mougeot et al., 2005; Zuk &amp; McKean, 1996)","noteIndex":0},"citationItems":[{"id":13142,"uris":["http://zotero.org/users/6240348/items/LS4LAJ3I"],"itemData":{"id":13142,"type":"article-journal","container-title":"International Journal for Parasitology","DOI":"10.1016/S0020-7519(96)80001-4","ISSN":"00207519","issue":"10","journalAbbreviation":"International Journal for Parasitology","language":"en","page":"1009-1024","source":"DOI.org (Crossref)","title":"Sex differences in parasite infections: Patterns and processes","title-short":"Sex differences in parasite infections","volume":"26","author":[{"family":"Zuk","given":"Marlene"},{"family":"McKean","given":"Kurt A."}],"issued":{"date-parts":[["1996",10]]}}},{"id":13124,"uris":["http://zotero.org/users/6240348/items/WSP22HT6"],"itemData":{"id":13124,"type":"article-journal","container-title":"Proceedings of the Royal Society of London. Series B: Biological Sciences","DOI":"10.1098/rspb.2001.1827","ISSN":"0962-8452, 1471-2954","issue":"1484","journalAbbreviation":"Proc. R. Soc. Lond. B","language":"en","page":"2467-2472","source":"DOI.org (Crossref)","title":"A condition dependent link between testosterone and disease resistance in the house finch","volume":"268","author":[{"family":"Duckworth","given":"Renée A."},{"family":"Mendonça","given":"Mary T."},{"family":"Hill","given":"Geoffrey E."}],"issued":{"date-parts":[["2001",12,7]]}}},{"id":12185,"uris":["http://zotero.org/groups/2752836/items/2F2F9QZ6"],"itemData":{"id":12185,"type":"article-journal","abstract":"We investigated the role of host sex in parasite transmission and questioned: ‘Is host sex important in influencing the dynamics of infection in free living animal populations?’ We experimentally reduced the helminth community of either males or females in a yellow-necked mice (Apodemus flavicollis) population using an anthelmintic, in replicated trapping areas, and subsequently monitored the prevalence and intensity of macroparasites in the untreated sex. We focussed on the dominant parasite Heligmosomoides polygyrus and found that reducing parasites in males caused a consistent reduction of parasitic intensity in females, estimated through faecal egg counts, but the removal of parasites in females had no significant influence on the parasites in males. This finding suggests that males are responsible for driving the parasite infection in the host population and females may play a relatively trivial role. The possible mechanisms promoting such patterns are discussed.","container-title":"Ecology Letters","DOI":"https://doi.org/10.1046/j.1461-0248.2003.00552.x","ISSN":"1461-0248","issue":"2","language":"en","note":"_eprint: https://onlinelibrary.wiley.com/doi/pdf/10.1046/j.1461-0248.2003.00552.x","page":"88-94","source":"Wiley Online Library","title":"The role of host sex in parasite dynamics: field experiments on the yellow-necked mouse Apodemus flavicollis","title-short":"The role of host sex in parasite dynamics","volume":"7","author":[{"family":"Ferrari","given":"Nicola"},{"family":"Cattadori","given":"Isabella M."},{"family":"Nespereira","given":"Javier"},{"family":"Rizzoli","given":"Annapaola"},{"family":"Hudson","given":"Peter J."}],"issued":{"date-parts":[["2004"]]}}},{"id":13137,"uris":["http://zotero.org/users/6240348/items/8WFIY5EQ"],"itemData":{"id":13137,"type":"article-journal","container-title":"The American Naturalist","DOI":"10.1086/431256","ISSN":"0003-0147, 1537-5323","issue":"2","journalAbbreviation":"The American Naturalist","language":"en","page":"158-168","source":"DOI.org (Crossref)","title":"Separating Behavioral and Physiological Mechanisms in Testosterone‐Mediated Trade‐Offs","volume":"166","author":[{"family":"Mougeot","given":"François"},{"family":"Redpath","given":"Stephen M."},{"family":"Piertney","given":"Stuart B."},{"family":"Hudson","given":"Peter J."}],"issued":{"date-parts":[["2005",8]]}}},{"id":13123,"uris":["http://zotero.org/users/6240348/items/67YANBNI"],"itemData":{"id":13123,"type":"article-journal","container-title":"Animal Behaviour","DOI":"10.1016/j.anbehav.2005.12.004","ISSN":"00033472","issue":"6","journalAbbreviation":"Animal Behaviour","language":"en","page":"1431-1438","source":"DOI.org (Crossref)","title":"Asymmetric effects of experimental manipulations of social status on individual immune response","volume":"71","author":[{"family":"Hawley","given":"Dana M."}],"issued":{"date-parts":[["2006",6]]}}},{"id":13140,"uris":["http://zotero.org/users/6240348/items/GNRC9MYV"],"itemData":{"id":13140,"type":"article-journal","container-title":"Ecology Letters","DOI":"10.1111/j.1461-0248.2009.01306.x","ISSN":"1461023X, 14610248","issue":"6","language":"en","page":"528-537","source":"DOI.org (Crossref)","title":"Does elevated testosterone result in increased exposure and transmission of parasites?","volume":"12","author":[{"family":"Grear","given":"Daniel A."},{"family":"Perkins","given":"Sarah E."},{"family":"Hudson","given":"Peter J."}],"issued":{"date-parts":[["2009",6]]}}},{"id":11848,"uris":["http://zotero.org/users/6240348/items/7IXETHVT"],"itemData":{"id":11848,"type":"article-journal","abstract":"Studies using wild animals in laboratory-based research require bringing wild-captured organisms into a novel setting, which can have long-lasting impacts on physiology and behavior. In several species, captivity stimulates stress hormone production and can alter immune function. Despite this, there is little consensus on how captivity influences stress hormone regulation, or if captivity-induced changes in stress hormone production and regulation mediate changes in immune function. In this study, we investigate the influence of captivity on the physiology of a wild bird commonly-used in laboratory-based research, the house sparrow (Passer domesticus). We tested how captivity influences stress endocrinology, immune responses, and organ mass, and also investigated if the production or regulation of corticosterone, the main stress hormone in birds, correlated with changes in immunity. We found that baseline corticosterone concentrations and maximum capacity of the adrenals to secrete corticosterone increase following captivity and remain elevated after 9weeks of captivity. A measure of innate immune function, the bactericidal ability of plasma, also increased with time spent in captivity. Wound healing was also influenced by time spent in captivity, with birds taking almost 2days longer to heal if they were wounded after 3weeks in captivity when compared with birds that were wounded immediately upon capture. Additionally, captivity caused notable reductions in spleen and liver mass. Together, these results imply that captivity can have long-lasting effects on house sparrow corticosterone release and immune function, and suggest that even after 9weeks house sparrows do not acclimate physiologically to life in captivity.","container-title":"General and Comparative Endocrinology","DOI":"10.1016/j.ygcen.2017.07.014","ISSN":"0016-6480","journalAbbreviation":"General and Comparative Endocrinology","language":"en","page":"18-26","source":"ScienceDirect","title":"Captivity influences immune responses, stress endocrinology, and organ size in house sparrows (Passer domesticus)","volume":"252","author":[{"family":"Love","given":"Ashley C."},{"family":"Lovern","given":"Matthew B."},{"family":"DuRant","given":"Sarah E."}],"issued":{"date-parts":[["2017",10,1]]}}}],"schema":"https://github.com/citation-style-language/schema/raw/master/csl-citation.json"} </w:instrText>
      </w:r>
      <w:r>
        <w:rPr>
          <w:rFonts w:ascii="Times New Roman" w:hAnsi="Times New Roman" w:cs="Times New Roman"/>
          <w:bCs/>
        </w:rPr>
        <w:fldChar w:fldCharType="separate"/>
      </w:r>
      <w:r>
        <w:rPr>
          <w:rFonts w:ascii="Times New Roman" w:hAnsi="Times New Roman" w:cs="Times New Roman"/>
        </w:rPr>
        <w:t>(Duckworth et al., 2001; Ferrari et al., 2004; Grear et al., 2009; Hawley, 2006; Love et al., 2017; Mougeot et al., 2005; Zuk &amp; McKean, 1996)</w:t>
      </w:r>
      <w:r>
        <w:rPr>
          <w:rFonts w:ascii="Times New Roman" w:hAnsi="Times New Roman" w:cs="Times New Roman"/>
          <w:bCs/>
        </w:rPr>
        <w:fldChar w:fldCharType="end"/>
      </w:r>
      <w:r>
        <w:rPr>
          <w:rFonts w:ascii="Times New Roman" w:hAnsi="Times New Roman" w:cs="Times New Roman"/>
          <w:bCs/>
        </w:rPr>
        <w:t xml:space="preserve">. Thus, the role of immune function, independent of host </w:t>
      </w:r>
      <w:proofErr w:type="spellStart"/>
      <w:r>
        <w:rPr>
          <w:rFonts w:ascii="Times New Roman" w:hAnsi="Times New Roman" w:cs="Times New Roman"/>
          <w:bCs/>
        </w:rPr>
        <w:t>behaviour</w:t>
      </w:r>
      <w:proofErr w:type="spellEnd"/>
      <w:r>
        <w:rPr>
          <w:rFonts w:ascii="Times New Roman" w:hAnsi="Times New Roman" w:cs="Times New Roman"/>
          <w:bCs/>
        </w:rPr>
        <w:t xml:space="preserve">, in sex-biased infection remains unclear as it is often difficult to </w:t>
      </w:r>
      <w:r w:rsidR="003D55F2">
        <w:rPr>
          <w:rFonts w:ascii="Times New Roman" w:hAnsi="Times New Roman" w:cs="Times New Roman"/>
          <w:bCs/>
        </w:rPr>
        <w:t>distinguish</w:t>
      </w:r>
      <w:r>
        <w:rPr>
          <w:rFonts w:ascii="Times New Roman" w:hAnsi="Times New Roman" w:cs="Times New Roman"/>
          <w:bCs/>
        </w:rPr>
        <w:t xml:space="preserve"> between differential exposure and differential susceptibility </w:t>
      </w:r>
      <w:r>
        <w:rPr>
          <w:rFonts w:ascii="Times New Roman" w:hAnsi="Times New Roman" w:cs="Times New Roman"/>
          <w:bCs/>
        </w:rPr>
        <w:fldChar w:fldCharType="begin"/>
      </w:r>
      <w:r>
        <w:rPr>
          <w:rFonts w:ascii="Times New Roman" w:hAnsi="Times New Roman" w:cs="Times New Roman"/>
          <w:bCs/>
        </w:rPr>
        <w:instrText xml:space="preserve"> ADDIN ZOTERO_ITEM CSL_CITATION {"citationID":"nhjwv3mn","properties":{"formattedCitation":"(Zuk &amp; McKean, 1996)","plainCitation":"(Zuk &amp; McKean, 1996)","noteIndex":0},"citationItems":[{"id":13142,"uris":["http://zotero.org/users/6240348/items/LS4LAJ3I"],"itemData":{"id":13142,"type":"article-journal","container-title":"International Journal for Parasitology","DOI":"10.1016/S0020-7519(96)80001-4","ISSN":"00207519","issue":"10","journalAbbreviation":"International Journal for Parasitology","language":"en","page":"1009-1024","source":"DOI.org (Crossref)","title":"Sex differences in parasite infections: Patterns and processes","title-short":"Sex differences in parasite infections","volume":"26","author":[{"family":"Zuk","given":"Marlene"},{"family":"McKean","given":"Kurt A."}],"issued":{"date-parts":[["1996",10]]}}}],"schema":"https://github.com/citation-style-language/schema/raw/master/csl-citation.json"} </w:instrText>
      </w:r>
      <w:r>
        <w:rPr>
          <w:rFonts w:ascii="Times New Roman" w:hAnsi="Times New Roman" w:cs="Times New Roman"/>
          <w:bCs/>
        </w:rPr>
        <w:fldChar w:fldCharType="separate"/>
      </w:r>
      <w:r>
        <w:rPr>
          <w:rFonts w:ascii="Times New Roman" w:hAnsi="Times New Roman" w:cs="Times New Roman"/>
        </w:rPr>
        <w:t>(Zuk &amp; McKean, 1996)</w:t>
      </w:r>
      <w:r>
        <w:rPr>
          <w:rFonts w:ascii="Times New Roman" w:hAnsi="Times New Roman" w:cs="Times New Roman"/>
          <w:bCs/>
        </w:rPr>
        <w:fldChar w:fldCharType="end"/>
      </w:r>
      <w:r>
        <w:rPr>
          <w:rFonts w:ascii="Times New Roman" w:hAnsi="Times New Roman" w:cs="Times New Roman"/>
          <w:bCs/>
        </w:rPr>
        <w:t xml:space="preserve">. </w:t>
      </w:r>
    </w:p>
    <w:p w14:paraId="1A144FAC" w14:textId="4F93350F" w:rsidR="00FE2A33" w:rsidRPr="00896070" w:rsidRDefault="00FE2A33" w:rsidP="00FE2A33">
      <w:pPr>
        <w:spacing w:before="240" w:line="480" w:lineRule="auto"/>
        <w:ind w:firstLine="720"/>
        <w:rPr>
          <w:rFonts w:ascii="Times New Roman" w:hAnsi="Times New Roman" w:cs="Times New Roman"/>
          <w:bCs/>
        </w:rPr>
      </w:pPr>
      <w:r>
        <w:rPr>
          <w:rFonts w:ascii="Times New Roman" w:hAnsi="Times New Roman" w:cs="Times New Roman"/>
          <w:bCs/>
        </w:rPr>
        <w:lastRenderedPageBreak/>
        <w:t>Additionally, much of the evidence supporting male-biased transmission is focused in mammalian-</w:t>
      </w:r>
      <w:proofErr w:type="spellStart"/>
      <w:r>
        <w:rPr>
          <w:rFonts w:ascii="Times New Roman" w:hAnsi="Times New Roman" w:cs="Times New Roman"/>
          <w:bCs/>
        </w:rPr>
        <w:t>macroparasite</w:t>
      </w:r>
      <w:proofErr w:type="spellEnd"/>
      <w:r>
        <w:rPr>
          <w:rFonts w:ascii="Times New Roman" w:hAnsi="Times New Roman" w:cs="Times New Roman"/>
          <w:bCs/>
        </w:rPr>
        <w:t xml:space="preserve"> systems while less is known about microparasite infections and infections of non-mammalian hosts </w:t>
      </w:r>
      <w:r>
        <w:rPr>
          <w:rFonts w:ascii="Times New Roman" w:hAnsi="Times New Roman" w:cs="Times New Roman"/>
          <w:bCs/>
        </w:rPr>
        <w:fldChar w:fldCharType="begin"/>
      </w:r>
      <w:r>
        <w:rPr>
          <w:rFonts w:ascii="Times New Roman" w:hAnsi="Times New Roman" w:cs="Times New Roman"/>
          <w:bCs/>
        </w:rPr>
        <w:instrText xml:space="preserve"> ADDIN ZOTERO_ITEM CSL_CITATION {"citationID":"5IoHzGAw","properties":{"formattedCitation":"(Valdebenito et al., 2021)","plainCitation":"(Valdebenito et al., 2021)","noteIndex":0},"citationItems":[{"id":13134,"uris":["http://zotero.org/users/6240348/items/9QJ8HWQB"],"itemData":{"id":13134,"type":"article-journal","abstract":"Abstract\n            Whilst the immune system often varies seasonally and exhibits differences between males and females, the general patterns in seasonality and sex differences across taxa have remained controversial. Birds are excellent model organisms to assess these patterns, because the immune system of many species is well characterised. We conducted a meta-analysis using 41 wild bird species from 24 avian families to investigate sex differences and seasonal (breeding/non-breeding) variations in immune status, including white blood cell counts, phytohaemagglutinin (PHA) test, bacteria-killing ability (BKA), haemolysis and haemagglutination assays. We found male-biased macrophage concentration, BKA and haemolysis titers, but only during the breeding season. Sex-specific heterophil concentrations, heterophil/lymphocyte ratios and PHA responses differed between breeding and non-breeding, suggesting larger changes in males than in females. Importantly, sex differences in immune status are stronger during the breeding period than during the non-breeding period. Taken together, our study suggests that both seasonal variation and sex differences in immune system are common in birds, although their associations are more complex than previously thought.","container-title":"Scientific Reports","DOI":"10.1038/s41598-020-80030-9","ISSN":"2045-2322","issue":"1","journalAbbreviation":"Sci Rep","language":"en","page":"1349","source":"DOI.org (Crossref)","title":"Seasonal variation in sex-specific immunity in wild birds","volume":"11","author":[{"family":"Valdebenito","given":"José O."},{"family":"Halimubieke","given":"Naerhulan"},{"family":"Lendvai","given":"Ádám Z."},{"family":"Figuerola","given":"Jordi"},{"family":"Eichhorn","given":"Götz"},{"family":"Székely","given":"Tamás"}],"issued":{"date-parts":[["2021",12]]}}}],"schema":"https://github.com/citation-style-language/schema/raw/master/csl-citation.json"} </w:instrText>
      </w:r>
      <w:r>
        <w:rPr>
          <w:rFonts w:ascii="Times New Roman" w:hAnsi="Times New Roman" w:cs="Times New Roman"/>
          <w:bCs/>
        </w:rPr>
        <w:fldChar w:fldCharType="separate"/>
      </w:r>
      <w:r>
        <w:rPr>
          <w:rFonts w:ascii="Times New Roman" w:hAnsi="Times New Roman" w:cs="Times New Roman"/>
        </w:rPr>
        <w:t>(Valdebenito et al., 2021)</w:t>
      </w:r>
      <w:r>
        <w:rPr>
          <w:rFonts w:ascii="Times New Roman" w:hAnsi="Times New Roman" w:cs="Times New Roman"/>
          <w:bCs/>
        </w:rPr>
        <w:fldChar w:fldCharType="end"/>
      </w:r>
      <w:r>
        <w:rPr>
          <w:rFonts w:ascii="Times New Roman" w:hAnsi="Times New Roman" w:cs="Times New Roman"/>
          <w:bCs/>
        </w:rPr>
        <w:t xml:space="preserve">. Recent meta-analyses of sex-biases in immune function across multiple taxa and specifically in avian hosts found weak to no evidence of female-biased immunocompetence and some evidence of male-biased immunocompetence in avian hosts </w:t>
      </w:r>
      <w:r>
        <w:rPr>
          <w:rFonts w:ascii="Times New Roman" w:hAnsi="Times New Roman" w:cs="Times New Roman"/>
          <w:bCs/>
        </w:rPr>
        <w:fldChar w:fldCharType="begin"/>
      </w:r>
      <w:r>
        <w:rPr>
          <w:rFonts w:ascii="Times New Roman" w:hAnsi="Times New Roman" w:cs="Times New Roman"/>
          <w:bCs/>
        </w:rPr>
        <w:instrText xml:space="preserve"> ADDIN ZOTERO_ITEM CSL_CITATION {"citationID":"7mWoVV6u","properties":{"formattedCitation":"(Kelly et al., 2018; Valdebenito et al., 2021)","plainCitation":"(Kelly et al., 2018; Valdebenito et al., 2021)","noteIndex":0},"citationItems":[{"id":13135,"uris":["http://zotero.org/users/6240348/items/NZSCIT6C"],"itemData":{"id":13135,"type":"article-journal","container-title":"Ecology Letters","DOI":"10.1111/ele.13164","ISSN":"1461-023X, 1461-0248","issue":"12","journalAbbreviation":"Ecology Letters","language":"en","page":"1885-1894","source":"DOI.org (Crossref)","title":"Sexual dimorphism in immunity across animals: a meta‐analysis","title-short":"Sexual dimorphism in immunity across animals","volume":"21","author":[{"family":"Kelly","given":"Clint D."},{"family":"Stoehr","given":"Andrew M."},{"family":"Nunn","given":"Charles"},{"family":"Smyth","given":"Kendra N."},{"family":"Prokop","given":"Zofia M."}],"editor":[{"family":"Hosken","given":"David"}],"issued":{"date-parts":[["2018",12]]}}},{"id":13134,"uris":["http://zotero.org/users/6240348/items/9QJ8HWQB"],"itemData":{"id":13134,"type":"article-journal","abstract":"Abstract\n            Whilst the immune system often varies seasonally and exhibits differences between males and females, the general patterns in seasonality and sex differences across taxa have remained controversial. Birds are excellent model organisms to assess these patterns, because the immune system of many species is well characterised. We conducted a meta-analysis using 41 wild bird species from 24 avian families to investigate sex differences and seasonal (breeding/non-breeding) variations in immune status, including white blood cell counts, phytohaemagglutinin (PHA) test, bacteria-killing ability (BKA), haemolysis and haemagglutination assays. We found male-biased macrophage concentration, BKA and haemolysis titers, but only during the breeding season. Sex-specific heterophil concentrations, heterophil/lymphocyte ratios and PHA responses differed between breeding and non-breeding, suggesting larger changes in males than in females. Importantly, sex differences in immune status are stronger during the breeding period than during the non-breeding period. Taken together, our study suggests that both seasonal variation and sex differences in immune system are common in birds, although their associations are more complex than previously thought.","container-title":"Scientific Reports","DOI":"10.1038/s41598-020-80030-9","ISSN":"2045-2322","issue":"1","journalAbbreviation":"Sci Rep","language":"en","page":"1349","source":"DOI.org (Crossref)","title":"Seasonal variation in sex-specific immunity in wild birds","volume":"11","author":[{"family":"Valdebenito","given":"José O."},{"family":"Halimubieke","given":"Naerhulan"},{"family":"Lendvai","given":"Ádám Z."},{"family":"Figuerola","given":"Jordi"},{"family":"Eichhorn","given":"Götz"},{"family":"Székely","given":"Tamás"}],"issued":{"date-parts":[["2021",12]]}}}],"schema":"https://github.com/citation-style-language/schema/raw/master/csl-citation.json"} </w:instrText>
      </w:r>
      <w:r>
        <w:rPr>
          <w:rFonts w:ascii="Times New Roman" w:hAnsi="Times New Roman" w:cs="Times New Roman"/>
          <w:bCs/>
        </w:rPr>
        <w:fldChar w:fldCharType="separate"/>
      </w:r>
      <w:r>
        <w:rPr>
          <w:rFonts w:ascii="Times New Roman" w:hAnsi="Times New Roman" w:cs="Times New Roman"/>
        </w:rPr>
        <w:t>(Kelly et al., 2018; Valdebenito et al., 2021)</w:t>
      </w:r>
      <w:r>
        <w:rPr>
          <w:rFonts w:ascii="Times New Roman" w:hAnsi="Times New Roman" w:cs="Times New Roman"/>
          <w:bCs/>
        </w:rPr>
        <w:fldChar w:fldCharType="end"/>
      </w:r>
      <w:r w:rsidRPr="00305479">
        <w:rPr>
          <w:rFonts w:ascii="Times New Roman" w:hAnsi="Times New Roman" w:cs="Times New Roman"/>
          <w:bCs/>
        </w:rPr>
        <w:t>.</w:t>
      </w:r>
      <w:r>
        <w:rPr>
          <w:rFonts w:ascii="Times New Roman" w:hAnsi="Times New Roman" w:cs="Times New Roman"/>
          <w:bCs/>
        </w:rPr>
        <w:t xml:space="preserve"> For example, while male-biased infection prevalence and burden has been demonstrated in avian hosts, female-biased infections are seemingly as common </w:t>
      </w:r>
      <w:r>
        <w:rPr>
          <w:rFonts w:ascii="Times New Roman" w:hAnsi="Times New Roman" w:cs="Times New Roman"/>
          <w:bCs/>
        </w:rPr>
        <w:fldChar w:fldCharType="begin"/>
      </w:r>
      <w:r>
        <w:rPr>
          <w:rFonts w:ascii="Times New Roman" w:hAnsi="Times New Roman" w:cs="Times New Roman"/>
          <w:bCs/>
        </w:rPr>
        <w:instrText xml:space="preserve"> ADDIN ZOTERO_ITEM CSL_CITATION {"citationID":"JYX1tvKp","properties":{"formattedCitation":"(Duckworth et al., 2001; McCurdy et al., 1998; Mougeot et al., 2005; Nielsen et al., 2020; Valdebenito et al., 2021)","plainCitation":"(Duckworth et al., 2001; McCurdy et al., 1998; Mougeot et al., 2005; Nielsen et al., 2020; Valdebenito et al., 2021)","noteIndex":0},"citationItems":[{"id":13169,"uris":["http://zotero.org/users/6240348/items/UWVBWJHG"],"itemData":{"id":13169,"type":"article-journal","container-title":"Oikos","DOI":"10.2307/3546970","ISSN":"00301299","issue":"2","journalAbbreviation":"Oikos","page":"303","source":"DOI.org (Crossref)","title":"Sex-Biased Parasitism of Avian Hosts: Relations to Blood Parasite Taxon and Mating System","title-short":"Sex-Biased Parasitism of Avian Hosts","volume":"82","author":[{"family":"McCurdy","given":"Dean G."},{"family":"Shutler","given":"Dave"},{"family":"Mullie","given":"Adele"},{"family":"Forbes","given":"Mark R."}],"issued":{"date-parts":[["1998",6]]}}},{"id":13124,"uris":["http://zotero.org/users/6240348/items/WSP22HT6"],"itemData":{"id":13124,"type":"article-journal","container-title":"Proceedings of the Royal Society of London. Series B: Biological Sciences","DOI":"10.1098/rspb.2001.1827","ISSN":"0962-8452, 1471-2954","issue":"1484","journalAbbreviation":"Proc. R. Soc. Lond. B","language":"en","page":"2467-2472","source":"DOI.org (Crossref)","title":"A condition dependent link between testosterone and disease resistance in the house finch","volume":"268","author":[{"family":"Duckworth","given":"Renée A."},{"family":"Mendonça","given":"Mary T."},{"family":"Hill","given":"Geoffrey E."}],"issued":{"date-parts":[["2001",12,7]]}}},{"id":13137,"uris":["http://zotero.org/users/6240348/items/8WFIY5EQ"],"itemData":{"id":13137,"type":"article-journal","container-title":"The American Naturalist","DOI":"10.1086/431256","ISSN":"0003-0147, 1537-5323","issue":"2","journalAbbreviation":"The American Naturalist","language":"en","page":"158-168","source":"DOI.org (Crossref)","title":"Separating Behavioral and Physiological Mechanisms in Testosterone‐Mediated Trade‐Offs","volume":"166","author":[{"family":"Mougeot","given":"François"},{"family":"Redpath","given":"Stephen M."},{"family":"Piertney","given":"Stuart B."},{"family":"Hudson","given":"Peter J."}],"issued":{"date-parts":[["2005",8]]}}},{"id":13133,"uris":["http://zotero.org/users/6240348/items/G5VUNX96"],"itemData":{"id":13133,"type":"article-journal","container-title":"Journal of Avian Biology","DOI":"10.1111/jav.02472","ISSN":"0908-8857, 1600-048X","issue":"10","journalAbbreviation":"J Avian Biol","language":"en","page":"jav.02472","source":"DOI.org (Crossref)","title":"Host sex and age typically explain variation in parasitism of rock ptarmigan: implications for identifying determinants of exposure and susceptibility","title-short":"Host sex and age typically explain variation in parasitism of rock ptarmigan","volume":"51","author":[{"family":"Nielsen","given":"Ó. K."},{"family":"Morrill","given":"A."},{"family":"Skírnisson","given":"K."},{"family":"Stenkewitz","given":"U."},{"family":"Pálsdóttir","given":"G. R."},{"family":"Forbes","given":"M. R."}],"issued":{"date-parts":[["2020",10]]}}},{"id":13134,"uris":["http://zotero.org/users/6240348/items/9QJ8HWQB"],"itemData":{"id":13134,"type":"article-journal","abstract":"Abstract\n            Whilst the immune system often varies seasonally and exhibits differences between males and females, the general patterns in seasonality and sex differences across taxa have remained controversial. Birds are excellent model organisms to assess these patterns, because the immune system of many species is well characterised. We conducted a meta-analysis using 41 wild bird species from 24 avian families to investi</w:instrText>
      </w:r>
      <w:r w:rsidRPr="002259B2">
        <w:rPr>
          <w:rFonts w:ascii="Times New Roman" w:hAnsi="Times New Roman" w:cs="Times New Roman"/>
          <w:bCs/>
        </w:rPr>
        <w:instrText xml:space="preserve">gate sex differences and seasonal (breeding/non-breeding) variations in immune status, including white blood cell counts, phytohaemagglutinin (PHA) test, bacteria-killing ability (BKA), haemolysis and haemagglutination assays. We found male-biased macrophage concentration, BKA and haemolysis titers, but only during the breeding season. Sex-specific heterophil concentrations, heterophil/lymphocyte ratios and PHA responses differed between breeding and non-breeding, suggesting larger changes in males than in females. Importantly, sex differences in immune status are stronger during the breeding period than during the non-breeding period. Taken together, our study suggests that both seasonal variation and sex differences in immune system are common in birds, although their associations are more complex than previously thought.","container-title":"Scientific Reports","DOI":"10.1038/s41598-020-80030-9","ISSN":"2045-2322","issue":"1","journalAbbreviation":"Sci Rep","language":"en","page":"1349","source":"DOI.org (Crossref)","title":"Seasonal variation in sex-specific immunity in wild birds","volume":"11","author":[{"family":"Valdebenito","given":"José O."},{"family":"Halimubieke","given":"Naerhulan"},{"family":"Lendvai","given":"Ádám Z."},{"family":"Figuerola","given":"Jordi"},{"family":"Eichhorn","given":"Götz"},{"family":"Székely","given":"Tamás"}],"issued":{"date-parts":[["2021",12]]}}}],"schema":"https://github.com/citation-style-language/schema/raw/master/csl-citation.json"} </w:instrText>
      </w:r>
      <w:r>
        <w:rPr>
          <w:rFonts w:ascii="Times New Roman" w:hAnsi="Times New Roman" w:cs="Times New Roman"/>
          <w:bCs/>
        </w:rPr>
        <w:fldChar w:fldCharType="separate"/>
      </w:r>
      <w:r w:rsidRPr="002259B2">
        <w:rPr>
          <w:rFonts w:ascii="Times New Roman" w:hAnsi="Times New Roman" w:cs="Times New Roman"/>
        </w:rPr>
        <w:t>(Duckworth et al., 2001; McCurdy et al., 1998; Mougeot et al., 2005; Nielsen et al., 2020; Valdebenito et al., 2021)</w:t>
      </w:r>
      <w:r>
        <w:rPr>
          <w:rFonts w:ascii="Times New Roman" w:hAnsi="Times New Roman" w:cs="Times New Roman"/>
          <w:bCs/>
        </w:rPr>
        <w:fldChar w:fldCharType="end"/>
      </w:r>
      <w:r w:rsidRPr="002259B2">
        <w:rPr>
          <w:rFonts w:ascii="Times New Roman" w:hAnsi="Times New Roman" w:cs="Times New Roman"/>
          <w:bCs/>
        </w:rPr>
        <w:t xml:space="preserve">. </w:t>
      </w:r>
      <w:r>
        <w:rPr>
          <w:rFonts w:ascii="Times New Roman" w:hAnsi="Times New Roman" w:cs="Times New Roman"/>
          <w:bCs/>
        </w:rPr>
        <w:t xml:space="preserve">Further, few studies attempt to translate these sex-biases in infection to sex-biased transmission dynamics </w:t>
      </w:r>
      <w:r>
        <w:rPr>
          <w:rFonts w:ascii="Times New Roman" w:hAnsi="Times New Roman" w:cs="Times New Roman"/>
          <w:bCs/>
        </w:rPr>
        <w:fldChar w:fldCharType="begin"/>
      </w:r>
      <w:r>
        <w:rPr>
          <w:rFonts w:ascii="Times New Roman" w:hAnsi="Times New Roman" w:cs="Times New Roman"/>
          <w:bCs/>
        </w:rPr>
        <w:instrText xml:space="preserve"> ADDIN ZOTERO_ITEM CSL_CITATION {"citationID":"HbFDqUnr","properties":{"formattedCitation":"(Kulkarni &amp; Heeb, 2007; Lachish et al., 2011)","plainCitation":"(Kulkarni &amp; Heeb, 2007; Lachish et al., 2011)","noteIndex":0},"citationItems":[{"id":13165,"uris":["http://zotero.org/users/6240348/items/ZER2SU6X"],"itemData":{"id":13165,"type":"article-journal","container-title":"Behavioural Processes","DOI":"10.1016/j.beproc.2006.10.005","ISSN":"03766357","issue":"1","journalAbbreviation":"Behavioural Processes","language":"en","page":"88-92","source":"DOI.org (Crossref)","title":"Social and sexual behaviours aid transmission of bacteria in birds","volume":"74","author":[{"family":"Kulkarni","given":"Subhash"},{"family":"Heeb","given":"Philipp"}],"issued":{"date-parts":[["2007",1]]}}},{"id":13166,"uris":["http://zotero.org/users/6240348/items/X7K7F6BX"],"itemData":{"id":13166,"type":"article-journal","container-title":"Journal of Animal Ecology","DOI":"10.1111/j.1365-2656.2011.01893.x","ISSN":"00218790","issue":"6","language":"en","page":"1207-1216","source":"DOI.org (Crossref)","title":"Infection dynamics of endemic malaria in a wild bird population: parasite species-dependent drivers of spatial and temporal variation in transmission rates: Infection dynamics of endemic avian malaria","title-short":"Infection dynamics of endemic malaria in a wild bird population","volume":"80","author":[{"family":"Lachish","given":"Shelly"},{"family":"Knowles","given":"Sarah C. L."},{"family":"Alves","given":"Ricardo"},{"family":"Wood","given":"Matthew J."},{"family":"Sheldon","given":"Ben C."}],"issued":{"date-parts":[["2011",11]]}}}],"schema":"https://github.com/citation-style-language/schema/raw/master/csl-citation.json"} </w:instrText>
      </w:r>
      <w:r>
        <w:rPr>
          <w:rFonts w:ascii="Times New Roman" w:hAnsi="Times New Roman" w:cs="Times New Roman"/>
          <w:bCs/>
        </w:rPr>
        <w:fldChar w:fldCharType="separate"/>
      </w:r>
      <w:r>
        <w:rPr>
          <w:rFonts w:ascii="Times New Roman" w:hAnsi="Times New Roman" w:cs="Times New Roman"/>
        </w:rPr>
        <w:t>(Kulkarni &amp; Heeb, 2007; Lachish et al., 2011)</w:t>
      </w:r>
      <w:r>
        <w:rPr>
          <w:rFonts w:ascii="Times New Roman" w:hAnsi="Times New Roman" w:cs="Times New Roman"/>
          <w:bCs/>
        </w:rPr>
        <w:fldChar w:fldCharType="end"/>
      </w:r>
      <w:r>
        <w:rPr>
          <w:rFonts w:ascii="Times New Roman" w:hAnsi="Times New Roman" w:cs="Times New Roman"/>
          <w:bCs/>
        </w:rPr>
        <w:t>. Thus, despite the generality with which male-biased transmission is often thought to occur, there is little evidence in avian pathogen systems to suggest that males disproportionally contribute to transmission.</w:t>
      </w:r>
    </w:p>
    <w:p w14:paraId="18413DAC" w14:textId="3B89F1C0" w:rsidR="00FE2A33" w:rsidRPr="002259B2" w:rsidRDefault="00FE2A33" w:rsidP="00FE2A33">
      <w:pPr>
        <w:spacing w:before="240" w:line="480" w:lineRule="auto"/>
        <w:ind w:firstLine="720"/>
        <w:rPr>
          <w:rFonts w:ascii="Times New Roman" w:hAnsi="Times New Roman" w:cs="Times New Roman"/>
          <w:bCs/>
          <w:lang w:val="fr-FR"/>
        </w:rPr>
      </w:pPr>
      <w:r w:rsidRPr="00992D26">
        <w:rPr>
          <w:rFonts w:ascii="Times New Roman" w:hAnsi="Times New Roman" w:cs="Times New Roman"/>
          <w:bCs/>
        </w:rPr>
        <w:t>Here we examine the potential for male-biased</w:t>
      </w:r>
      <w:r>
        <w:rPr>
          <w:rFonts w:ascii="Times New Roman" w:hAnsi="Times New Roman" w:cs="Times New Roman"/>
          <w:bCs/>
        </w:rPr>
        <w:t xml:space="preserve"> pathology</w:t>
      </w:r>
      <w:r w:rsidR="007E62E1">
        <w:rPr>
          <w:rFonts w:ascii="Times New Roman" w:hAnsi="Times New Roman" w:cs="Times New Roman"/>
          <w:bCs/>
        </w:rPr>
        <w:t>, the intensity of symptomatic disease,</w:t>
      </w:r>
      <w:r w:rsidRPr="00992D26">
        <w:rPr>
          <w:rFonts w:ascii="Times New Roman" w:hAnsi="Times New Roman" w:cs="Times New Roman"/>
          <w:bCs/>
        </w:rPr>
        <w:t xml:space="preserve"> </w:t>
      </w:r>
      <w:r>
        <w:rPr>
          <w:rFonts w:ascii="Times New Roman" w:hAnsi="Times New Roman" w:cs="Times New Roman"/>
          <w:bCs/>
        </w:rPr>
        <w:t xml:space="preserve">to drive </w:t>
      </w:r>
      <w:r w:rsidRPr="00992D26">
        <w:rPr>
          <w:rFonts w:ascii="Times New Roman" w:hAnsi="Times New Roman" w:cs="Times New Roman"/>
          <w:bCs/>
        </w:rPr>
        <w:t xml:space="preserve">transmission </w:t>
      </w:r>
      <w:r>
        <w:rPr>
          <w:rFonts w:ascii="Times New Roman" w:hAnsi="Times New Roman" w:cs="Times New Roman"/>
          <w:bCs/>
        </w:rPr>
        <w:t>dynamics of a</w:t>
      </w:r>
      <w:r w:rsidRPr="00992D26">
        <w:rPr>
          <w:rFonts w:ascii="Times New Roman" w:hAnsi="Times New Roman" w:cs="Times New Roman"/>
          <w:bCs/>
        </w:rPr>
        <w:t xml:space="preserve"> </w:t>
      </w:r>
      <w:r>
        <w:rPr>
          <w:rFonts w:ascii="Times New Roman" w:hAnsi="Times New Roman" w:cs="Times New Roman"/>
          <w:bCs/>
        </w:rPr>
        <w:t>widespread avian bacterial pathogen</w:t>
      </w:r>
      <w:r w:rsidR="00F836F1">
        <w:rPr>
          <w:rFonts w:ascii="Times New Roman" w:hAnsi="Times New Roman" w:cs="Times New Roman"/>
          <w:bCs/>
        </w:rPr>
        <w:t xml:space="preserve">, </w:t>
      </w:r>
      <w:r w:rsidR="00F836F1" w:rsidRPr="009A27CF">
        <w:rPr>
          <w:rFonts w:ascii="Times New Roman" w:hAnsi="Times New Roman" w:cs="Times New Roman"/>
          <w:bCs/>
          <w:i/>
          <w:iCs/>
        </w:rPr>
        <w:t xml:space="preserve">Mycoplasma </w:t>
      </w:r>
      <w:proofErr w:type="spellStart"/>
      <w:r w:rsidR="00F836F1" w:rsidRPr="009A27CF">
        <w:rPr>
          <w:rFonts w:ascii="Times New Roman" w:hAnsi="Times New Roman" w:cs="Times New Roman"/>
          <w:bCs/>
          <w:i/>
          <w:iCs/>
        </w:rPr>
        <w:t>gallisepticum</w:t>
      </w:r>
      <w:proofErr w:type="spellEnd"/>
      <w:r w:rsidR="00F836F1" w:rsidRPr="009A27CF">
        <w:rPr>
          <w:rFonts w:ascii="Times New Roman" w:hAnsi="Times New Roman" w:cs="Times New Roman"/>
          <w:bCs/>
          <w:i/>
          <w:iCs/>
        </w:rPr>
        <w:t xml:space="preserve"> </w:t>
      </w:r>
      <w:r w:rsidR="00F836F1" w:rsidRPr="009A27CF">
        <w:rPr>
          <w:rFonts w:ascii="Times New Roman" w:hAnsi="Times New Roman" w:cs="Times New Roman"/>
          <w:bCs/>
        </w:rPr>
        <w:t>(hereafter MG)</w:t>
      </w:r>
      <w:r>
        <w:rPr>
          <w:rFonts w:ascii="Times New Roman" w:hAnsi="Times New Roman" w:cs="Times New Roman"/>
          <w:bCs/>
        </w:rPr>
        <w:t>.</w:t>
      </w:r>
      <w:r w:rsidRPr="00992D26">
        <w:rPr>
          <w:rFonts w:ascii="Times New Roman" w:hAnsi="Times New Roman" w:cs="Times New Roman"/>
          <w:bCs/>
        </w:rPr>
        <w:t xml:space="preserve"> </w:t>
      </w:r>
      <w:r>
        <w:rPr>
          <w:rFonts w:ascii="Times New Roman" w:hAnsi="Times New Roman" w:cs="Times New Roman"/>
          <w:bCs/>
        </w:rPr>
        <w:t>MG is spread through fomites and direct contact with infected birds</w:t>
      </w:r>
      <w:r w:rsidR="00F836F1">
        <w:rPr>
          <w:rFonts w:ascii="Times New Roman" w:hAnsi="Times New Roman" w:cs="Times New Roman"/>
          <w:bCs/>
        </w:rPr>
        <w:t xml:space="preserve">, primarily </w:t>
      </w:r>
      <w:r w:rsidR="00F836F1" w:rsidRPr="009A27CF">
        <w:rPr>
          <w:rFonts w:ascii="Times New Roman" w:hAnsi="Times New Roman" w:cs="Times New Roman"/>
          <w:bCs/>
        </w:rPr>
        <w:t>house finches (</w:t>
      </w:r>
      <w:proofErr w:type="spellStart"/>
      <w:r w:rsidR="00F836F1" w:rsidRPr="009A27CF">
        <w:rPr>
          <w:rFonts w:ascii="Times New Roman" w:hAnsi="Times New Roman" w:cs="Times New Roman"/>
          <w:bCs/>
          <w:i/>
          <w:iCs/>
        </w:rPr>
        <w:t>Haemorhous</w:t>
      </w:r>
      <w:proofErr w:type="spellEnd"/>
      <w:r w:rsidR="00F836F1" w:rsidRPr="009A27CF">
        <w:rPr>
          <w:rFonts w:ascii="Times New Roman" w:hAnsi="Times New Roman" w:cs="Times New Roman"/>
          <w:bCs/>
          <w:i/>
          <w:iCs/>
        </w:rPr>
        <w:t xml:space="preserve"> mexicanus</w:t>
      </w:r>
      <w:r w:rsidR="00F836F1" w:rsidRPr="009A27CF">
        <w:rPr>
          <w:rFonts w:ascii="Times New Roman" w:hAnsi="Times New Roman" w:cs="Times New Roman"/>
          <w:bCs/>
        </w:rPr>
        <w:t>)</w:t>
      </w:r>
      <w:r>
        <w:rPr>
          <w:rFonts w:ascii="Times New Roman" w:hAnsi="Times New Roman" w:cs="Times New Roman"/>
          <w:bCs/>
        </w:rPr>
        <w:t xml:space="preserve">, with bird feeders being important drivers of transmission in this system </w:t>
      </w:r>
      <w:r>
        <w:rPr>
          <w:rFonts w:ascii="Times New Roman" w:hAnsi="Times New Roman" w:cs="Times New Roman"/>
          <w:bCs/>
        </w:rPr>
        <w:fldChar w:fldCharType="begin"/>
      </w:r>
      <w:r w:rsidR="00EF4835">
        <w:rPr>
          <w:rFonts w:ascii="Times New Roman" w:hAnsi="Times New Roman" w:cs="Times New Roman"/>
          <w:bCs/>
        </w:rPr>
        <w:instrText xml:space="preserve"> ADDIN ZOTERO_ITEM CSL_CITATION {"citationID":"FysceFpp","properties":{"formattedCitation":"(Adelman et al., 2015; Dhondt et al., 2007; Hochachka et al., 2021; Hochachka &amp; Dhondt, 2000; Moyers et al., 2018)","plainCitation":"(Adelman et al., 2015; Dhondt et al., 2007; Hochachka et al., 2021; Hochachka &amp; Dhondt, 2000; Moyers et al., 2018)","noteIndex":0},"citationItems":[{"id":13126,"uris":["http://zotero.org/users/6240348/items/ZYKTJI7W"],"itemData":{"id":13126,"type":"article-journal","container-title":"Proceedings of the National Academy of Sciences","issue":"10","note":"publisher: National Acad Sciences","page":"5303–5306","title":"Density-dependent decline of host abundance resulting from a new infectious disease","volume":"97","author":[{"family":"Hochachka","given":"Wesley M"},{"family":"Dhondt","given":"André A"}],"issued":{"date-parts":[["2000"]]}}},{"id":11941,"uris":["http://zotero.org/users/6240348/items/IUAKUCLX"],"itemData":{"id":11941,"type":"article-journal","container-title":"Avian Pathology","DOI":"10.1080/03079450701286277","ISSN":"0307-9457, 1465-3338","issue":"3","journalAbbreviation":"Avian Pathology","language":"en","page":"205-208","source":"DOI.org (Crossref)","title":"Experimental evidence for transmission of &lt;i&gt;Mycoplasma gallisepticum&lt;/i&gt; in house finches by fomites","volume":"36","author":[{"family":"Dhondt","given":"André A."},{"family":"Dhondt","given":"Keila V."},{"family":"Hawley","given":"Dana M."},{"family":"Jennelle","given":"Christopher S."}],"issued":{"date-parts":[["2007",6]]}}},{"id":11943,"uris":["http://zotero.org/users/6240348/items/7TY2MALJ"],"itemData":{"id":11943,"type":"article-journal","abstract":"Individual heterogeneity can influence the dynamics of infectious diseases in wildlife and humans alike. Thus, recent work has sought to identify behavioural characteristics that contribute disproportionately to individual variation in pathogen acquisition (super-receiving) or transmission (super-spreading). However, it remains unknown whether the same behaviours enhance both acquisition and transmission, a scenario likely to result in explosive epidemics. Here, we examined this possibility in an ecologically relevant host–pathogen system: house finches and their bacterial pathogen,\n              Mycoplasma gallisepticum\n              , which causes severe conjunctivitis. We examined behaviours likely to influence disease acquisition (feeder use, aggression, social network affiliations) in an observational field study, finding that the time an individual spends on bird feeders best predicted the risk of conjunctivitis. To test whether this behaviour also influences the likelihood of transmitting\n              M. gallisepticum\n              , we experimentally inoculated individuals based on feeding behaviour and tracked epidemics within captive flocks. As predicted, transmission was fastest when birds that spent the most time on feeders initiated the epidemic. Our results suggest that the same behaviour underlies both pathogen acquisition and transmission in this system and potentially others. Identifying individuals that exhibit such behaviours is critical for disease management.","container-title":"Proceedings of the Royal Society B: Biological Sciences","DOI":"10.1098/rspb.2015.1429","ISSN":"0962-8452, 1471-2954","issue":"1815","journalAbbreviation":"Proc. R. Soc. B.","language":"en","page":"20151429","source":"DOI.org (Crossref)","title":"Feeder use predicts both acquisition and transmission of a contagious pathogen in a North American songbird","volume":"282","author":[{"family":"Adelman","given":"James S."},{"family":"Moyers","given":"Sahnzi C."},{"family":"Farine","given":"Damien R."},{"family":"Hawley","given":"Dana M."}],"issued":{"date-parts":[["2015",9,22]]}}},{"id":11921,"uris":["http://zotero.org/users/6240348/items/MQBD9XVR"],"itemData":{"id":11921,"type":"article-journal","abstract":"Anthropogenic food provisioning of wildlife can alter the frequency of contacts among hosts and between hosts and environmental sources of pathogens. Despite the popularity of garden bird feeding, few studies have addressed how feeders influence host contact rates and disease dynamics. We experimentally manipulated feeder density in replicate aviaries containing captive, pathogen-naive, groups of house finches (\n              Haemorhous mexicanus\n              ) and continuously tracked behaviours at feeders using radio-frequency identification devices. We then inoculated one bird per group with\n              Mycoplasma gallisepticum\n              (Mg), a common bacterial pathogen for which feeders are fomites of transmission, and assessed effects of feeder density on house finch behaviour and pathogen transmission. We found that pathogen transmission was significantly higher in groups with the highest density of bird feeders, despite a significantly lower rate of intraspecific aggressive interactions relative to the low feeder density groups. Conversely, among naive group members that never showed signs of disease, we saw significantly higher concentrations of Mg-specific antibodies in low feeder density groups, suggesting that birds in low feeder density treatments had exposure to subclinical doses of Mg. We discuss ways in which the density of garden bird feeders could play an important role in mediating the intensity of Mg epidemics.\n            \n            This article is part of the theme issue ‘Anthropogenic resource subsidies and host–parasite dynamics in wildlife'.","container-title":"Philosophical Transactions of the Royal Society B: Biological Sciences","DOI":"10.1098/rstb.2017.0090","ISSN":"0962-8436, 1471-2970","issue":"1745","journalAbbreviation":"Phil. Trans. R. Soc. B","language":"en","page":"20170090","source":"DOI.org (Crossref)","title":"Feeder density enhances house finch disease transmission in experimental epidemics","volume":"373","author":[{"family":"Moyers","given":"Sahnzi C."},{"family":"Adelman","given":"James S."},{"family":"Farine","given":"Damien R."},{"family":"Thomason","given":"Courtney A."},{"family":"Hawley","given":"Dana M."}],"issued":{"date-parts":[["2018",5,5]]}}},{"id":12795,"uris":["http://zotero.org/users/6240348/items/AUCC2X53"],"itemData":{"id":12795,"type":"article-journal","container-title":"Journal of Animal Ecology","DOI":"10.1111/1365-2656.13469","ISSN":"0021-8790, 1365-2656","journalAbbreviation":"J Anim Ecol","language":"en","page":"1365-2656.13469","source":"DOI.org (Crossref)","title":"Host population dynamics in the face of an evolving pathogen","author":[{"family":"Hochachka","given":"Wesley M."},{"family":"Dobson","given":"Andrew P."},{"family":"Hawley","given":"Dana M."},{"family":"Dhondt","given":"André A."}],"editor":[{"family":"Boulinier","given":"Thierry"}],"issued":{"date-parts":[["2021",4,5]]}}}],"schema":"https://github.com/citation-style-language/schema/raw/master/csl-citation.json"} </w:instrText>
      </w:r>
      <w:r>
        <w:rPr>
          <w:rFonts w:ascii="Times New Roman" w:hAnsi="Times New Roman" w:cs="Times New Roman"/>
          <w:bCs/>
        </w:rPr>
        <w:fldChar w:fldCharType="separate"/>
      </w:r>
      <w:r w:rsidR="00EF4835">
        <w:rPr>
          <w:rFonts w:ascii="Times New Roman" w:hAnsi="Times New Roman" w:cs="Times New Roman"/>
        </w:rPr>
        <w:t>(Adelman et al., 2015; Dhondt et al., 2007; Hochachka et al., 2021; Hochachka &amp; Dhondt, 2000; Moyers et al., 2018)</w:t>
      </w:r>
      <w:r>
        <w:rPr>
          <w:rFonts w:ascii="Times New Roman" w:hAnsi="Times New Roman" w:cs="Times New Roman"/>
          <w:bCs/>
        </w:rPr>
        <w:fldChar w:fldCharType="end"/>
      </w:r>
      <w:r w:rsidRPr="005C15F4">
        <w:rPr>
          <w:rFonts w:ascii="Times New Roman" w:hAnsi="Times New Roman" w:cs="Times New Roman"/>
          <w:bCs/>
          <w:lang w:val="fr-FR"/>
        </w:rPr>
        <w:t>.</w:t>
      </w:r>
      <w:r w:rsidRPr="00305479">
        <w:rPr>
          <w:rFonts w:ascii="Times New Roman" w:hAnsi="Times New Roman" w:cs="Times New Roman"/>
          <w:bCs/>
          <w:lang w:val="fr-FR"/>
        </w:rPr>
        <w:t xml:space="preserve"> </w:t>
      </w:r>
      <w:r>
        <w:rPr>
          <w:rFonts w:ascii="Times New Roman" w:hAnsi="Times New Roman" w:cs="Times New Roman"/>
          <w:bCs/>
        </w:rPr>
        <w:t xml:space="preserve">Because of the importance of bird feeders in this system, sex-specific feeding </w:t>
      </w:r>
      <w:proofErr w:type="spellStart"/>
      <w:r>
        <w:rPr>
          <w:rFonts w:ascii="Times New Roman" w:hAnsi="Times New Roman" w:cs="Times New Roman"/>
          <w:bCs/>
        </w:rPr>
        <w:t>behaviour</w:t>
      </w:r>
      <w:proofErr w:type="spellEnd"/>
      <w:r>
        <w:rPr>
          <w:rFonts w:ascii="Times New Roman" w:hAnsi="Times New Roman" w:cs="Times New Roman"/>
          <w:bCs/>
        </w:rPr>
        <w:t xml:space="preserve"> may contribute to sex-biased exposure risk</w:t>
      </w:r>
      <w:r w:rsidR="007E62E1">
        <w:rPr>
          <w:rFonts w:ascii="Times New Roman" w:hAnsi="Times New Roman" w:cs="Times New Roman"/>
          <w:bCs/>
        </w:rPr>
        <w:t xml:space="preserve"> (the likelihood of being exposed to MG)</w:t>
      </w:r>
      <w:r>
        <w:rPr>
          <w:rFonts w:ascii="Times New Roman" w:hAnsi="Times New Roman" w:cs="Times New Roman"/>
          <w:bCs/>
        </w:rPr>
        <w:t xml:space="preserve">. For example, </w:t>
      </w:r>
      <w:proofErr w:type="spellStart"/>
      <w:r>
        <w:rPr>
          <w:rFonts w:ascii="Times New Roman" w:hAnsi="Times New Roman" w:cs="Times New Roman"/>
          <w:bCs/>
        </w:rPr>
        <w:t>Bouwman</w:t>
      </w:r>
      <w:proofErr w:type="spellEnd"/>
      <w:r>
        <w:rPr>
          <w:rFonts w:ascii="Times New Roman" w:hAnsi="Times New Roman" w:cs="Times New Roman"/>
          <w:bCs/>
        </w:rPr>
        <w:t xml:space="preserve"> &amp; Hawley </w:t>
      </w:r>
      <w:r>
        <w:rPr>
          <w:rFonts w:ascii="Times New Roman" w:hAnsi="Times New Roman" w:cs="Times New Roman"/>
          <w:bCs/>
        </w:rPr>
        <w:fldChar w:fldCharType="begin"/>
      </w:r>
      <w:r>
        <w:rPr>
          <w:rFonts w:ascii="Times New Roman" w:hAnsi="Times New Roman" w:cs="Times New Roman"/>
          <w:bCs/>
        </w:rPr>
        <w:instrText xml:space="preserve"> ADDIN ZOTERO_ITEM CSL_CITATION {"citationID":"lYCr68Le","properties":{"formattedCitation":"(2010)","plainCitation":"(2010)","noteIndex":0},"citationItems":[{"id":11933,"uris":["http://zotero.org/users/6240348/items/LDZKGH52"],"itemData":{"id":11933,"type":"article-journal","abstract":"Host behaviour towards infectious conspecifics is a crucial yet overlooked component of pathogen dynamics. Selection is expected to favour individuals who can recognize and avoid infected conspecifics in order to reduce their own risk of infection. However, evidence is scarce and limited to species employing chemical cues. Here, we experimentally examine whether healthy captive house finches (Carpodacus mexicanus) preferentially forage near a same-sex, healthy conspecific versus one infected with the directly transmissible pathogen Mycoplasma gallisepticum (MG), which causes lethargy and visible conjunctivitis. Interestingly, male house finches strongly preferred feeding near diseased conspecifics, while females showed no preference. This sex difference appeared to be the result of lower aggression rates in diseased males, but not in females. The reduced aggression of diseased males may act as an ‘evolutionary trap’ by presenting a historically beneficial behavioural cue in the context of a new environment, which now includes a recently emerged, potentially fatal pathogen. Since MG can be directly transmitted during feeding, healthy males may inadvertently increase their risk of contracting MG. This behaviour is likely to significantly contribute to the continued persistence of MG epidemics in wild populations.","container-title":"Biology Letters","DOI":"10.1098/rsbl.2010.0020","ISSN":"1744-9561","issue":"4","journalAbbreviation":"Biol Lett","note":"PMID: 20164082\nPMCID: PMC2936219","page":"462-465","source":"PubMed Central","title":"Sickness behaviour acting as an evolutionary trap? Male house finches preferentially feed near diseased conspecifics","title-short":"Sickness behaviour acting as an evolutionary trap?","volume":"6","author":[{"family":"Bouwman","given":"Karen M."},{"family":"Hawley","given":"Dana M."}],"issued":{"date-parts":[["2010",8,23]]}},"suppress-author":true}],"schema":"https://github.com/citation-style-language/schema/raw/master/csl-citation.json"} </w:instrText>
      </w:r>
      <w:r>
        <w:rPr>
          <w:rFonts w:ascii="Times New Roman" w:hAnsi="Times New Roman" w:cs="Times New Roman"/>
          <w:bCs/>
        </w:rPr>
        <w:fldChar w:fldCharType="separate"/>
      </w:r>
      <w:r>
        <w:rPr>
          <w:rFonts w:ascii="Times New Roman" w:hAnsi="Times New Roman" w:cs="Times New Roman"/>
        </w:rPr>
        <w:t>(2010)</w:t>
      </w:r>
      <w:r>
        <w:rPr>
          <w:rFonts w:ascii="Times New Roman" w:hAnsi="Times New Roman" w:cs="Times New Roman"/>
          <w:bCs/>
        </w:rPr>
        <w:fldChar w:fldCharType="end"/>
      </w:r>
      <w:r>
        <w:rPr>
          <w:rFonts w:ascii="Times New Roman" w:hAnsi="Times New Roman" w:cs="Times New Roman"/>
          <w:bCs/>
        </w:rPr>
        <w:t xml:space="preserve"> demonstrated that healthy </w:t>
      </w:r>
      <w:r w:rsidR="00F836F1">
        <w:rPr>
          <w:rFonts w:ascii="Times New Roman" w:hAnsi="Times New Roman" w:cs="Times New Roman"/>
          <w:bCs/>
        </w:rPr>
        <w:t xml:space="preserve">house finch </w:t>
      </w:r>
      <w:r>
        <w:rPr>
          <w:rFonts w:ascii="Times New Roman" w:hAnsi="Times New Roman" w:cs="Times New Roman"/>
          <w:bCs/>
        </w:rPr>
        <w:t xml:space="preserve">males tend to preferentially feed near diseased-males to avoid costly aggressive encounters with other healthy-males while healthy-females show no </w:t>
      </w:r>
      <w:r>
        <w:rPr>
          <w:rFonts w:ascii="Times New Roman" w:hAnsi="Times New Roman" w:cs="Times New Roman"/>
          <w:bCs/>
        </w:rPr>
        <w:lastRenderedPageBreak/>
        <w:t xml:space="preserve">feeding preference </w:t>
      </w:r>
      <w:r>
        <w:rPr>
          <w:rFonts w:ascii="Times New Roman" w:hAnsi="Times New Roman" w:cs="Times New Roman"/>
          <w:bCs/>
        </w:rPr>
        <w:fldChar w:fldCharType="begin"/>
      </w:r>
      <w:r w:rsidR="00A157B6">
        <w:rPr>
          <w:rFonts w:ascii="Times New Roman" w:hAnsi="Times New Roman" w:cs="Times New Roman"/>
          <w:bCs/>
        </w:rPr>
        <w:instrText xml:space="preserve"> ADDIN ZOTERO_ITEM CSL_CITATION {"citationID":"F2mLTA60","properties":{"formattedCitation":"(Hawley, 2006; Hawley et al., 2006)","plainCitation":"(Hawley, 2006; Hawley et al., 2006)","noteIndex":0},"citationItems":[{"id":13123,"uris":["http://zotero.org/users/6240348/items/67YANBNI"],"itemData":{"id":13123,"type":"article-journal","container-title":"Animal Behaviour","DOI":"10.1016/j.anbehav.2005.12.004","ISSN":"00033472","issue":"6","journalAbbreviation":"Animal Behaviour","language":"en","page":"1431-1438","source":"DOI.org (Crossref)","title":"Asymmetric effects of experimental manipulations of social status on individual immune response","volume":"71","author":[{"family":"Hawley","given":"Dana M."}],"issued":{"date-parts":[["2006",6]]}}},{"id":11927,"uris":["http://zotero.org/users/6240348/items/AG3SBF4H"],"itemData":{"id":11927,"type":"article-journal","abstract":"Although social behavior can substantially influence an individual’s physiology, few studies have examined whether intraspecific competition compromises individual immunocompetence. We experimentally manipulated the intensity of social competition in captive non-breeding house finches (Carpodacus mexicanus) by supplying few (high competition) or many (low competition) feeding sites. We tested whether elevated levels of social competition caused individual changes in aggression rates, humoral immunity, body mass, and baseline and stress-induced corticosterone concentrations. We also examined whether physiological responses to social competition were related to an individual’s social status. We found that house finches under high social competition had significantly higher aggression rates, lower antibody responses, and lost more body mass. Within flocks, dominant individuals mounted stronger immune responses in both competition treatments. Our statistical power to detect differences in circulating corticosterone concentrations was low, but we did not find any support for the hypothesis that corticosterone concentrations mediate immunosuppression among or within flocks: baseline and stress-induced corticosterone concentrations did not differ under high and low social competition, were unrelated to individual social status, and did not predict the extent of immunosuppression among individuals. Overall, we documented that two universal components of social behavior, intraspecific competition and social status, modulated the strength of a humoral immune response in house finches.","container-title":"Hormones and Behavior","DOI":"10.1016/j.yhbeh.2005.09.003","ISSN":"0018-506X","issue":"4","journalAbbreviation":"Hormones and Behavior","language":"en","page":"417-424","source":"ScienceDirect","title":"Experimentally increased social competition compromises humoral immune responses in house finches","volume":"49","author":[{"family":"Hawley","given":"Dana M."},{"family":"Lindström","given":"Karin"},{"family":"Wikelski","given":"Martin"}],"issued":{"date-parts":[["2006",4,1]]}}}],"schema":"https://github.com/citation-style-language/schema/raw/master/csl-citation.json"} </w:instrText>
      </w:r>
      <w:r>
        <w:rPr>
          <w:rFonts w:ascii="Times New Roman" w:hAnsi="Times New Roman" w:cs="Times New Roman"/>
          <w:bCs/>
        </w:rPr>
        <w:fldChar w:fldCharType="separate"/>
      </w:r>
      <w:r w:rsidR="00A157B6">
        <w:rPr>
          <w:rFonts w:ascii="Times New Roman" w:hAnsi="Times New Roman" w:cs="Times New Roman"/>
        </w:rPr>
        <w:t>(Hawley, 2006; Hawley et al., 2006)</w:t>
      </w:r>
      <w:r>
        <w:rPr>
          <w:rFonts w:ascii="Times New Roman" w:hAnsi="Times New Roman" w:cs="Times New Roman"/>
          <w:bCs/>
        </w:rPr>
        <w:fldChar w:fldCharType="end"/>
      </w:r>
      <w:r>
        <w:rPr>
          <w:rFonts w:ascii="Times New Roman" w:hAnsi="Times New Roman" w:cs="Times New Roman"/>
          <w:bCs/>
        </w:rPr>
        <w:t xml:space="preserve">. Thus, while there is some indication that males have the potential to disproportionately contribute to transmission in this system, direct assessment of sex-biased transmission </w:t>
      </w:r>
      <w:r w:rsidR="00F836F1">
        <w:rPr>
          <w:rFonts w:ascii="Times New Roman" w:hAnsi="Times New Roman" w:cs="Times New Roman"/>
          <w:bCs/>
        </w:rPr>
        <w:t>of MG</w:t>
      </w:r>
      <w:r>
        <w:rPr>
          <w:rFonts w:ascii="Times New Roman" w:hAnsi="Times New Roman" w:cs="Times New Roman"/>
          <w:bCs/>
        </w:rPr>
        <w:t xml:space="preserve"> remains underexplored </w:t>
      </w:r>
      <w:r>
        <w:rPr>
          <w:rFonts w:ascii="Times New Roman" w:hAnsi="Times New Roman" w:cs="Times New Roman"/>
          <w:bCs/>
        </w:rPr>
        <w:fldChar w:fldCharType="begin"/>
      </w:r>
      <w:r w:rsidR="00EF4835">
        <w:rPr>
          <w:rFonts w:ascii="Times New Roman" w:hAnsi="Times New Roman" w:cs="Times New Roman"/>
          <w:bCs/>
        </w:rPr>
        <w:instrText xml:space="preserve"> ADDIN ZOTERO_ITEM CSL_CITATION {"citationID":"BKIScvci","properties":{"formattedCitation":"(Adelman et al., 2015; Moyers et al., 2018)","plainCitation":"(Adelman et al., 2015; Moyers et al., 2018)","noteIndex":0},"citationItems":[{"id":11943,"uris":["http://zotero.org/users/6240348/items/7TY2MALJ"],"itemData":{"id":11943,"type":"article-journal","abstract":"Individual heterogeneity can influence the dynamics of infectious diseases in wildlife and humans alike. Thus, recent work has sought to identify behavioural characteristics that contribute disproportionately to individual variation in pathogen acquisition (super-receiving) or transmission (super-spreading). However, it remains unknown whether the same behaviours enhance both acquisition and transmission, a scenario likely to result in explosive epidemics. Here, we examined this possibility in an ecologically relevant host–pathogen system: house finches and their bacterial pathogen,\n              Mycoplasma gallisepticum\n              , which causes severe conjunctivitis. We examined behaviours likely to influence disease acquisition (feeder use, aggression, social network affiliations) in an observational field study, finding that the time an individual spends on bird feeders best predicted the risk of conjunctivitis. To test whether this behaviour also influences the likelihood of transmitting\n              M. gallisepticum\n              , we experimentally inoculated individuals based on feeding behaviour and tracked epidemics within captive flocks. As predicted, transmission was fastest when birds that spent the most time on feeders initiated the epidemic. Our results suggest that the same behaviour underlies both pathogen acquisition and transmission in this system and potentially others. Identifying individuals that exhibit such behaviours is critical for disease management.","container-title":"Proceedings of the Royal Society B: Biological Sciences","DOI":"10.1098/rspb.2015.1429","ISSN":"0962-8452, 1471-2954","issue":"1815","journalAbbreviation":"Proc. R. Soc. B.","language":"en","page":"20151429","source":"DOI.org (Crossref)","title":"Feeder use predicts both acquisition and transmission of a contagious pathogen in a North American songbird","volume":"282","author":[{"family":"Adelman","given":"James S."},{"family":"Moyers","given":"Sahnzi C."},{"family":"Farine","given":"Damien R."},{"family":"Hawley","given":"Dana M."}],"issued":{"date-parts":[["2015",9,22]]}}},{"id":11921,"uris":["http://zotero.org/users/6240348/items/MQBD9XVR"],"itemData":{"id":11921,"type":"article-journal","abstract":"Anthropogenic food provisioning of wildlife can alter the frequency of contacts among hosts and between hosts and environmental sources of pathogens. Despite the popularity of garden bird feeding, few studies have addressed how feeders influence host contact rates and disease dynamics. We experimentally manipulated feeder density in replicate aviaries containing captive, pathogen-naive, groups of house finches (\n              Haemorhous mexicanus\n              ) and continuously tracked behaviours at feeders using radio-frequency identification devices. We then inoculated one bird per group with\n              Mycoplasma gallisepticum\n              (Mg), a common bacterial pathogen for which feeders are fomites of transmission, and assessed effects of feeder density on house finch behaviour and pathogen transmission. We found that pathogen transmission was significantly higher in groups with the highest density of bird feeders, despite a significantly lower rate of intraspecific aggressive interactions relative to the low feeder density groups. Conversely, among naive group members that never showed signs of disease, we saw significantly higher concentrations of Mg-specific antibodies in low feeder density groups, suggesting that birds in low feeder density treatments had exposure to subclinical doses of Mg. We discuss ways in which the density of garden bird feeders could play an important role in mediating the intensity of Mg epidemics.\n            \n            This article is part of the theme issue ‘Anthropogenic resource subsidies and host–parasite dynamics in wildlife'.","container-title":"Philosophical Transactions of the Royal Society B: Biological Sciences","DOI":"10.1098/rstb.2017.0090","ISSN":"0962-8436, 1471-2970","issue":"1745","journalAbbreviation":"Phil. Trans. R. Soc. B","language":"en","page":"20170090","source":"DOI.org (Crossref)","title":"Feeder density enhances house finch disease transmission in experimental epidemics","volume":"373","author":[{"family":"Moyers","given":"Sahnzi C."},{"family":"Adelman","given":"James S."},{"family":"Farine","given":"Damien R."},{"family":"Thomason","given":"Courtney A."},{"family":"Hawley","given":"Dana M."}],"issued":{"date-parts":[["2018",5,5]]}}}],"schema":"https://github.com/citation-style-language/schema/raw/master/csl-citation.json"} </w:instrText>
      </w:r>
      <w:r>
        <w:rPr>
          <w:rFonts w:ascii="Times New Roman" w:hAnsi="Times New Roman" w:cs="Times New Roman"/>
          <w:bCs/>
        </w:rPr>
        <w:fldChar w:fldCharType="separate"/>
      </w:r>
      <w:r w:rsidR="00EF4835">
        <w:rPr>
          <w:rFonts w:ascii="Times New Roman" w:hAnsi="Times New Roman" w:cs="Times New Roman"/>
        </w:rPr>
        <w:t>(Adelman et al., 2015; Moyers et al., 2018)</w:t>
      </w:r>
      <w:r>
        <w:rPr>
          <w:rFonts w:ascii="Times New Roman" w:hAnsi="Times New Roman" w:cs="Times New Roman"/>
          <w:bCs/>
        </w:rPr>
        <w:fldChar w:fldCharType="end"/>
      </w:r>
      <w:r>
        <w:rPr>
          <w:rFonts w:ascii="Times New Roman" w:hAnsi="Times New Roman" w:cs="Times New Roman"/>
          <w:bCs/>
        </w:rPr>
        <w:t xml:space="preserve">. </w:t>
      </w:r>
    </w:p>
    <w:p w14:paraId="19E7AE34" w14:textId="25F5EA88" w:rsidR="00FE2A33" w:rsidRPr="0060050A" w:rsidRDefault="00FE2A33" w:rsidP="00FE2A33">
      <w:pPr>
        <w:spacing w:before="240" w:line="480" w:lineRule="auto"/>
        <w:ind w:firstLine="720"/>
        <w:rPr>
          <w:rFonts w:ascii="Times New Roman" w:hAnsi="Times New Roman" w:cs="Times New Roman"/>
          <w:bCs/>
        </w:rPr>
      </w:pPr>
      <w:bookmarkStart w:id="2" w:name="_Hlk107236771"/>
      <w:r>
        <w:rPr>
          <w:rFonts w:ascii="Times New Roman" w:hAnsi="Times New Roman" w:cs="Times New Roman"/>
          <w:bCs/>
        </w:rPr>
        <w:t xml:space="preserve">The potential for male-biased pathology to affect recovery time and pathogen burdens, both important transmission factors, paired with male-biased </w:t>
      </w:r>
      <w:proofErr w:type="spellStart"/>
      <w:r>
        <w:rPr>
          <w:rFonts w:ascii="Times New Roman" w:hAnsi="Times New Roman" w:cs="Times New Roman"/>
          <w:bCs/>
        </w:rPr>
        <w:t>behavioural</w:t>
      </w:r>
      <w:proofErr w:type="spellEnd"/>
      <w:r>
        <w:rPr>
          <w:rFonts w:ascii="Times New Roman" w:hAnsi="Times New Roman" w:cs="Times New Roman"/>
          <w:bCs/>
        </w:rPr>
        <w:t xml:space="preserve"> feeding preferences that could increase exposure risk during epidemics</w:t>
      </w:r>
      <w:r w:rsidR="003D55F2">
        <w:rPr>
          <w:rFonts w:ascii="Times New Roman" w:hAnsi="Times New Roman" w:cs="Times New Roman"/>
          <w:bCs/>
        </w:rPr>
        <w:t>,</w:t>
      </w:r>
      <w:r>
        <w:rPr>
          <w:rFonts w:ascii="Times New Roman" w:hAnsi="Times New Roman" w:cs="Times New Roman"/>
          <w:bCs/>
        </w:rPr>
        <w:t xml:space="preserve"> may result in drastically male-biased transmission in MG epidemics. </w:t>
      </w:r>
      <w:bookmarkStart w:id="3" w:name="_Hlk112332737"/>
      <w:r>
        <w:rPr>
          <w:rFonts w:ascii="Times New Roman" w:hAnsi="Times New Roman" w:cs="Times New Roman"/>
          <w:bCs/>
        </w:rPr>
        <w:t xml:space="preserve">Here we examine the potential for male-biased sex-dependent transmission in MG using a multistate transmission model parameterized with exposure-controlled pathological data </w:t>
      </w:r>
      <w:r w:rsidR="00ED4AB6">
        <w:rPr>
          <w:rFonts w:ascii="Times New Roman" w:hAnsi="Times New Roman" w:cs="Times New Roman"/>
          <w:bCs/>
        </w:rPr>
        <w:t xml:space="preserve">from an original experiment using domestic canaries </w:t>
      </w:r>
      <w:r>
        <w:rPr>
          <w:rFonts w:ascii="Times New Roman" w:hAnsi="Times New Roman" w:cs="Times New Roman"/>
          <w:bCs/>
        </w:rPr>
        <w:t xml:space="preserve">and transmission rates from </w:t>
      </w:r>
      <w:r w:rsidR="00ED4AB6">
        <w:rPr>
          <w:rFonts w:ascii="Times New Roman" w:hAnsi="Times New Roman" w:cs="Times New Roman"/>
          <w:bCs/>
        </w:rPr>
        <w:t xml:space="preserve">published data on house finch </w:t>
      </w:r>
      <w:r>
        <w:rPr>
          <w:rFonts w:ascii="Times New Roman" w:hAnsi="Times New Roman" w:cs="Times New Roman"/>
          <w:bCs/>
        </w:rPr>
        <w:t>flocks of varying sex-ratios</w:t>
      </w:r>
      <w:bookmarkEnd w:id="3"/>
      <w:r>
        <w:rPr>
          <w:rFonts w:ascii="Times New Roman" w:hAnsi="Times New Roman" w:cs="Times New Roman"/>
          <w:bCs/>
        </w:rPr>
        <w:t xml:space="preserve"> </w:t>
      </w:r>
      <w:r>
        <w:rPr>
          <w:rFonts w:ascii="Times New Roman" w:hAnsi="Times New Roman" w:cs="Times New Roman"/>
          <w:bCs/>
        </w:rPr>
        <w:fldChar w:fldCharType="begin"/>
      </w:r>
      <w:r w:rsidR="00EF4835">
        <w:rPr>
          <w:rFonts w:ascii="Times New Roman" w:hAnsi="Times New Roman" w:cs="Times New Roman"/>
          <w:bCs/>
        </w:rPr>
        <w:instrText xml:space="preserve"> ADDIN ZOTERO_ITEM CSL_CITATION {"citationID":"tGxtt5In","properties":{"formattedCitation":"(Adelman et al., 2015; Moyers et al., 2018)","plainCitation":"(Adelman et al., 2015; Moyers et al., 2018)","noteIndex":0},"citationItems":[{"id":11943,"uris":["http://zotero.org/users/6240348/items/7TY2MALJ"],"itemData":{"id":11943,"type":"article-journal","abstract":"Individual heterogeneity can influence the dynamics of infectious diseases in wildlife and humans alike. Thus, recent work has sought to identify behavioural characteristics that contribute disproportionately to individual variation in pathogen acquisition (super-receiving) or transmission (super-spreading). However, it remains unknown whether the same behaviours enhance both acquisition and transmission, a scenario likely to result in explosive epidemics. Here, we examined this possibility in an ecologically relevant host–pathogen system: house finches and their bacterial pathogen,\n              Mycoplasma gallisepticum\n              , which causes severe conjunctivitis. We examined behaviours likely to influence disease acquisition (feeder use, aggression, social network affiliations) in an observational field study, finding that the time an individual spends on bird feeders best predicted the risk of conjunctivitis. To test whether this behaviour also influences the likelihood of transmitting\n              M. gallisepticum\n              , we experimentally inoculated individuals based on feeding behaviour and tracked epidemics within captive flocks. As predicted, transmission was fastest when birds that spent the most time on feeders initiated the epidemic. Our results suggest that the same behaviour underlies both pathogen acquisition and transmission in this system and potentially others. Identifying individuals that exhibit such behaviours is critical for disease management.","container-title":"Proceedings of the Royal Society B: Biological Sciences","DOI":"10.1098/rspb.2015.1429","ISSN":"0962-8452, 1471-2954","issue":"1815","journalAbbreviation":"Proc. R. Soc. B.","language":"en","page":"20151429","source":"DOI.org (Crossref)","title":"Feeder use predicts both acquisition and transmission of a contagious pathogen in a North American songbird","volume":"282","author":[{"family":"Adelman","given":"James S."},{"family":"Moyers","given":"Sahnzi C."},{"family":"Farine","given":"Damien R."},{"family":"Hawley","given":"Dana M."}],"issued":{"date-parts":[["2015",9,22]]}}},{"id":11921,"uris":["http://zotero.org/users/6240348/items/MQBD9XVR"],"itemData":{"id":11921,"type":"article-journal","abstract":"Anthropogenic food provisioning of wildlife can alter the frequency of contacts among hosts and between hosts and environmental sources of pathogens. Despite the popularity of garden bird feeding, few studies have addressed how feeders influence host contact rates and disease dynamics. We experimentally manipulated feeder density in replicate aviaries containing captive, pathogen-naive, groups of house finches (\n              Haemorhous mexicanus\n              ) and continuously tracked behaviours at feeders using radio-frequency identification devices. We then inoculated one bird per group with\n              Mycoplasma gallisepticum\n              (Mg), a common bacterial pathogen for which feeders are fomites of transmission, and assessed effects of feeder density on house finch behaviour and pathogen transmission. We found that pathogen transmission was significantly higher in groups with the highest density of bird feeders, despite a significantly lower rate of intraspecific aggressive interactions relative to the low feeder density groups. Conversely, among naive group members that never showed signs of disease, we saw significantly higher concentrations of Mg-specific antibodies in low feeder density groups, suggesting that birds in low feeder density treatments had exposure to subclinical doses of Mg. We discuss ways in which the density of garden bird feeders could play an important role in mediating the intensity of Mg epidemics.\n            \n            This article is part of the theme issue ‘Anthropogenic resource subsidies and host–parasite dynamics in wildlife'.","container-title":"Philosophical Transactions of the Royal Society B: Biological Sciences","DOI":"10.1098/rstb.2017.0090","ISSN":"0962-8436, 1471-2970","issue":"1745","journalAbbreviation":"Phil. Trans. R. Soc. B","language":"en","page":"20170090","source":"DOI.org (Crossref)","title":"Feeder density enhances house finch disease transmission in experimental epidemics","volume":"373","author":[{"family":"Moyers","given":"Sahnzi C."},{"family":"Adelman","given":"James S."},{"family":"Farine","given":"Damien R."},{"family":"Thomason","given":"Courtney A."},{"family":"Hawley","given":"Dana M."}],"issued":{"date-parts":[["2018",5,5]]}}}],"schema":"https://github.com/citation-style-language/schema/raw/master/csl-citation.json"} </w:instrText>
      </w:r>
      <w:r>
        <w:rPr>
          <w:rFonts w:ascii="Times New Roman" w:hAnsi="Times New Roman" w:cs="Times New Roman"/>
          <w:bCs/>
        </w:rPr>
        <w:fldChar w:fldCharType="separate"/>
      </w:r>
      <w:r w:rsidR="00EF4835">
        <w:rPr>
          <w:rFonts w:ascii="Times New Roman" w:hAnsi="Times New Roman" w:cs="Times New Roman"/>
        </w:rPr>
        <w:t>(Adelman et al., 2015; Moyers et al., 2018)</w:t>
      </w:r>
      <w:r>
        <w:rPr>
          <w:rFonts w:ascii="Times New Roman" w:hAnsi="Times New Roman" w:cs="Times New Roman"/>
          <w:bCs/>
        </w:rPr>
        <w:fldChar w:fldCharType="end"/>
      </w:r>
      <w:r>
        <w:rPr>
          <w:rFonts w:ascii="Times New Roman" w:hAnsi="Times New Roman" w:cs="Times New Roman"/>
          <w:bCs/>
        </w:rPr>
        <w:t xml:space="preserve">. Our objectives were to determine </w:t>
      </w:r>
      <w:r w:rsidRPr="0060050A">
        <w:rPr>
          <w:rFonts w:ascii="Times New Roman" w:hAnsi="Times New Roman" w:cs="Times New Roman"/>
          <w:bCs/>
        </w:rPr>
        <w:t xml:space="preserve">if </w:t>
      </w:r>
      <w:r>
        <w:rPr>
          <w:rFonts w:ascii="Times New Roman" w:hAnsi="Times New Roman" w:cs="Times New Roman"/>
          <w:bCs/>
        </w:rPr>
        <w:t>male-biased</w:t>
      </w:r>
      <w:r w:rsidRPr="0060050A">
        <w:rPr>
          <w:rFonts w:ascii="Times New Roman" w:hAnsi="Times New Roman" w:cs="Times New Roman"/>
          <w:bCs/>
        </w:rPr>
        <w:t xml:space="preserve"> transmission </w:t>
      </w:r>
      <w:r>
        <w:rPr>
          <w:rFonts w:ascii="Times New Roman" w:hAnsi="Times New Roman" w:cs="Times New Roman"/>
          <w:bCs/>
        </w:rPr>
        <w:t xml:space="preserve">occurs in this system </w:t>
      </w:r>
      <w:r w:rsidRPr="0060050A">
        <w:rPr>
          <w:rFonts w:ascii="Times New Roman" w:hAnsi="Times New Roman" w:cs="Times New Roman"/>
          <w:bCs/>
        </w:rPr>
        <w:t>and</w:t>
      </w:r>
      <w:r>
        <w:rPr>
          <w:rFonts w:ascii="Times New Roman" w:hAnsi="Times New Roman" w:cs="Times New Roman"/>
          <w:bCs/>
        </w:rPr>
        <w:t>,</w:t>
      </w:r>
      <w:r w:rsidRPr="0060050A">
        <w:rPr>
          <w:rFonts w:ascii="Times New Roman" w:hAnsi="Times New Roman" w:cs="Times New Roman"/>
          <w:bCs/>
        </w:rPr>
        <w:t xml:space="preserve"> if</w:t>
      </w:r>
      <w:r>
        <w:rPr>
          <w:rFonts w:ascii="Times New Roman" w:hAnsi="Times New Roman" w:cs="Times New Roman"/>
          <w:bCs/>
        </w:rPr>
        <w:t xml:space="preserve"> so,</w:t>
      </w:r>
      <w:r w:rsidRPr="0060050A">
        <w:rPr>
          <w:rFonts w:ascii="Times New Roman" w:hAnsi="Times New Roman" w:cs="Times New Roman"/>
          <w:bCs/>
        </w:rPr>
        <w:t xml:space="preserve"> </w:t>
      </w:r>
      <w:r>
        <w:rPr>
          <w:rFonts w:ascii="Times New Roman" w:hAnsi="Times New Roman" w:cs="Times New Roman"/>
          <w:bCs/>
        </w:rPr>
        <w:t xml:space="preserve">can the bias </w:t>
      </w:r>
      <w:r w:rsidRPr="0060050A">
        <w:rPr>
          <w:rFonts w:ascii="Times New Roman" w:hAnsi="Times New Roman" w:cs="Times New Roman"/>
          <w:bCs/>
        </w:rPr>
        <w:t xml:space="preserve">be attributed to </w:t>
      </w:r>
      <w:r>
        <w:rPr>
          <w:rFonts w:ascii="Times New Roman" w:hAnsi="Times New Roman" w:cs="Times New Roman"/>
          <w:bCs/>
        </w:rPr>
        <w:t>male-bias</w:t>
      </w:r>
      <w:r w:rsidR="007F05F7">
        <w:rPr>
          <w:rFonts w:ascii="Times New Roman" w:hAnsi="Times New Roman" w:cs="Times New Roman"/>
          <w:bCs/>
        </w:rPr>
        <w:t>ed</w:t>
      </w:r>
      <w:r>
        <w:rPr>
          <w:rFonts w:ascii="Times New Roman" w:hAnsi="Times New Roman" w:cs="Times New Roman"/>
          <w:bCs/>
        </w:rPr>
        <w:t xml:space="preserve"> disease </w:t>
      </w:r>
      <w:r w:rsidR="007E62E1">
        <w:rPr>
          <w:rFonts w:ascii="Times New Roman" w:hAnsi="Times New Roman" w:cs="Times New Roman"/>
          <w:bCs/>
        </w:rPr>
        <w:t xml:space="preserve">pathology </w:t>
      </w:r>
      <w:r>
        <w:rPr>
          <w:rFonts w:ascii="Times New Roman" w:hAnsi="Times New Roman" w:cs="Times New Roman"/>
          <w:bCs/>
        </w:rPr>
        <w:t xml:space="preserve">or </w:t>
      </w:r>
      <w:proofErr w:type="spellStart"/>
      <w:r>
        <w:rPr>
          <w:rFonts w:ascii="Times New Roman" w:hAnsi="Times New Roman" w:cs="Times New Roman"/>
          <w:bCs/>
        </w:rPr>
        <w:t>behaviour</w:t>
      </w:r>
      <w:proofErr w:type="spellEnd"/>
      <w:r>
        <w:rPr>
          <w:rFonts w:ascii="Times New Roman" w:hAnsi="Times New Roman" w:cs="Times New Roman"/>
          <w:bCs/>
        </w:rPr>
        <w:t xml:space="preserve">. We predicted that transmission will primarily be driven by male birds and that male pathology will be an important driver of transmission.   </w:t>
      </w:r>
      <w:bookmarkEnd w:id="2"/>
    </w:p>
    <w:p w14:paraId="6812B5A3" w14:textId="77777777" w:rsidR="00FE2A33" w:rsidRDefault="00FE2A33" w:rsidP="00FE2A33">
      <w:pPr>
        <w:spacing w:before="240" w:line="480" w:lineRule="auto"/>
        <w:rPr>
          <w:rFonts w:ascii="Times New Roman" w:hAnsi="Times New Roman" w:cs="Times New Roman"/>
          <w:b/>
        </w:rPr>
      </w:pPr>
      <w:r>
        <w:rPr>
          <w:rFonts w:ascii="Times New Roman" w:hAnsi="Times New Roman" w:cs="Times New Roman"/>
          <w:b/>
        </w:rPr>
        <w:t xml:space="preserve">Materials and </w:t>
      </w:r>
      <w:r w:rsidRPr="00553F82">
        <w:rPr>
          <w:rFonts w:ascii="Times New Roman" w:hAnsi="Times New Roman" w:cs="Times New Roman"/>
          <w:b/>
        </w:rPr>
        <w:t xml:space="preserve">Methods </w:t>
      </w:r>
    </w:p>
    <w:p w14:paraId="153A6DFD" w14:textId="77777777" w:rsidR="00D616E1" w:rsidRDefault="00FE2A33" w:rsidP="00FE2A33">
      <w:pPr>
        <w:spacing w:line="480" w:lineRule="auto"/>
        <w:rPr>
          <w:rFonts w:ascii="Times New Roman" w:hAnsi="Times New Roman" w:cs="Times New Roman"/>
        </w:rPr>
      </w:pPr>
      <w:r>
        <w:rPr>
          <w:rFonts w:ascii="Times New Roman" w:hAnsi="Times New Roman" w:cs="Times New Roman"/>
          <w:i/>
          <w:iCs/>
        </w:rPr>
        <w:t>Study species and a</w:t>
      </w:r>
      <w:r w:rsidRPr="00B16C30">
        <w:rPr>
          <w:rFonts w:ascii="Times New Roman" w:hAnsi="Times New Roman" w:cs="Times New Roman"/>
          <w:i/>
          <w:iCs/>
        </w:rPr>
        <w:t>nimal husbandry</w:t>
      </w:r>
      <w:r>
        <w:rPr>
          <w:rFonts w:ascii="Times New Roman" w:hAnsi="Times New Roman" w:cs="Times New Roman"/>
        </w:rPr>
        <w:t xml:space="preserve"> – MG can infect numerous songbirds species, though it is best studied in house finches </w:t>
      </w:r>
      <w:r>
        <w:rPr>
          <w:rFonts w:ascii="Times New Roman" w:hAnsi="Times New Roman" w:cs="Times New Roman"/>
        </w:rPr>
        <w:fldChar w:fldCharType="begin"/>
      </w:r>
      <w:r>
        <w:rPr>
          <w:rFonts w:ascii="Times New Roman" w:hAnsi="Times New Roman" w:cs="Times New Roman"/>
        </w:rPr>
        <w:instrText xml:space="preserve"> ADDIN ZOTERO_ITEM CSL_CITATION {"citationID":"CINB7oN7","properties":{"formattedCitation":"(Farmer et al., 2005)","plainCitation":"(Farmer et al., 2005)","noteIndex":0},"citationItems":[{"id":11915,"uris":["http://zotero.org/users/6240348/items/7JDSRWG2"],"itemData":{"id":11915,"type":"article-journal","container-title":"Journal of Wildlife Diseases","DOI":"10.7589/0090-3558-41.2.317","ISSN":"0090-3558","issue":"2","journalAbbreviation":"J Wildl Dis","language":"en","note":"publisher: Allen Press","page":"317-325","source":"meridian.allenpress.com","title":"Susceptibility of wild songbirds to the house finch strain of Mycoplasma gallisepticum","volume":"41","author":[{"family":"Farmer","given":"K. L."},{"family":"Hill","given":"G. E."},{"family":"Roberts","given":"S. R."}],"issued":{"date-parts":[["2005",4,1]]}}}],"schema":"https://github.com/citation-style-language/schema/raw/master/csl-citation.json"}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(Farmer et al., 2005)</w:t>
      </w:r>
      <w:r>
        <w:rPr>
          <w:rFonts w:ascii="Times New Roman" w:hAnsi="Times New Roman" w:cs="Times New Roman"/>
        </w:rPr>
        <w:fldChar w:fldCharType="end"/>
      </w:r>
      <w:r>
        <w:rPr>
          <w:rFonts w:ascii="Times New Roman" w:hAnsi="Times New Roman" w:cs="Times New Roman"/>
        </w:rPr>
        <w:t>. We used domestic canaries (</w:t>
      </w:r>
      <w:proofErr w:type="spellStart"/>
      <w:r w:rsidRPr="00D66BD9">
        <w:rPr>
          <w:rFonts w:ascii="Times New Roman" w:hAnsi="Times New Roman" w:cs="Times New Roman"/>
          <w:i/>
          <w:iCs/>
        </w:rPr>
        <w:t>Serinus</w:t>
      </w:r>
      <w:proofErr w:type="spellEnd"/>
      <w:r w:rsidRPr="00D66BD9">
        <w:rPr>
          <w:rFonts w:ascii="Times New Roman" w:hAnsi="Times New Roman" w:cs="Times New Roman"/>
          <w:i/>
          <w:iCs/>
        </w:rPr>
        <w:t xml:space="preserve"> </w:t>
      </w:r>
      <w:proofErr w:type="spellStart"/>
      <w:r w:rsidRPr="00D66BD9">
        <w:rPr>
          <w:rFonts w:ascii="Times New Roman" w:hAnsi="Times New Roman" w:cs="Times New Roman"/>
          <w:i/>
          <w:iCs/>
        </w:rPr>
        <w:t>canaria</w:t>
      </w:r>
      <w:proofErr w:type="spellEnd"/>
      <w:r w:rsidRPr="00D66BD9">
        <w:rPr>
          <w:rFonts w:ascii="Times New Roman" w:hAnsi="Times New Roman" w:cs="Times New Roman"/>
          <w:i/>
          <w:iCs/>
        </w:rPr>
        <w:t xml:space="preserve"> domestica</w:t>
      </w:r>
      <w:r>
        <w:rPr>
          <w:rFonts w:ascii="Times New Roman" w:hAnsi="Times New Roman" w:cs="Times New Roman"/>
        </w:rPr>
        <w:t xml:space="preserve">) in this experiment as a model for the MG-house finch system because canaries and house finches do not differ in their </w:t>
      </w:r>
      <w:r w:rsidRPr="00426D15">
        <w:rPr>
          <w:rFonts w:ascii="Times New Roman" w:hAnsi="Times New Roman" w:cs="Times New Roman"/>
        </w:rPr>
        <w:t>pathogen load</w:t>
      </w:r>
      <w:r>
        <w:rPr>
          <w:rFonts w:ascii="Times New Roman" w:hAnsi="Times New Roman" w:cs="Times New Roman"/>
        </w:rPr>
        <w:t>s</w:t>
      </w:r>
      <w:r w:rsidRPr="00426D15">
        <w:rPr>
          <w:rFonts w:ascii="Times New Roman" w:hAnsi="Times New Roman" w:cs="Times New Roman"/>
        </w:rPr>
        <w:t xml:space="preserve">, production of pathogen-specific serum antibodies, </w:t>
      </w:r>
      <w:r>
        <w:rPr>
          <w:rFonts w:ascii="Times New Roman" w:hAnsi="Times New Roman" w:cs="Times New Roman"/>
        </w:rPr>
        <w:t xml:space="preserve">pathology, or recovery time after exposure to identical doses of MG </w:t>
      </w:r>
      <w:r>
        <w:rPr>
          <w:rFonts w:ascii="Times New Roman" w:hAnsi="Times New Roman" w:cs="Times New Roman"/>
        </w:rPr>
        <w:fldChar w:fldCharType="begin"/>
      </w:r>
      <w:r>
        <w:rPr>
          <w:rFonts w:ascii="Times New Roman" w:hAnsi="Times New Roman" w:cs="Times New Roman"/>
        </w:rPr>
        <w:instrText xml:space="preserve"> ADDIN ZOTERO_ITEM CSL_CITATION {"citationID":"jsmFNlGt","properties":{"formattedCitation":"(Hawley et al., 2011)","plainCitation":"(Hawley et al., 2011)","noteIndex":0},"citationItems":[{"id":13024,"uris":["http://zotero.org/users/6240348/items/6MXMETRY"],"itemData":{"id":13024,"type":"article-journal","container-title":"Avian Pathology","issue":"3","note":"publisher: Taylor &amp; Francis","page":"321–327","title":"Experimental infection of domestic canaries (Serinus canaria domestica) with Mycoplasma gallisepticum: a new model system for a wildlife disease","volume":"40","author":[{"family":"Hawley","given":"Dana M"},{"family":"Grodio","given":"Jessica"},{"family":"Frasca Jr","given":"Salvatore"},{"family":"Kirkpatrick","given":"Laila"},{"family":"Ley","given":"David H"}],"issued":{"date-parts":[["2011"]]}}}],"schema":"https://github.com/citation-style-language/schema/raw/master/csl-citation.json"}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(Hawley et al., 2011)</w:t>
      </w:r>
      <w:r>
        <w:rPr>
          <w:rFonts w:ascii="Times New Roman" w:hAnsi="Times New Roman" w:cs="Times New Roman"/>
        </w:rPr>
        <w:fldChar w:fldCharType="end"/>
      </w:r>
      <w:r>
        <w:rPr>
          <w:rFonts w:ascii="Times New Roman" w:hAnsi="Times New Roman" w:cs="Times New Roman"/>
        </w:rPr>
        <w:t xml:space="preserve">. Further, canaries are well suited for laboratory studies and continue to exhibit typical life history events in captivity. Additionally, while there is limited data available on sex-biased </w:t>
      </w:r>
      <w:r>
        <w:rPr>
          <w:rFonts w:ascii="Times New Roman" w:hAnsi="Times New Roman" w:cs="Times New Roman"/>
        </w:rPr>
        <w:lastRenderedPageBreak/>
        <w:t xml:space="preserve">differences in MG pathology, we were able to find </w:t>
      </w:r>
      <w:r w:rsidR="00B65F5C">
        <w:rPr>
          <w:rFonts w:ascii="Times New Roman" w:hAnsi="Times New Roman" w:cs="Times New Roman"/>
        </w:rPr>
        <w:t>three</w:t>
      </w:r>
      <w:r w:rsidR="002278C9">
        <w:rPr>
          <w:rFonts w:ascii="Times New Roman" w:hAnsi="Times New Roman" w:cs="Times New Roman"/>
        </w:rPr>
        <w:t xml:space="preserve"> </w:t>
      </w:r>
      <w:r>
        <w:rPr>
          <w:rFonts w:ascii="Times New Roman" w:hAnsi="Times New Roman" w:cs="Times New Roman"/>
        </w:rPr>
        <w:t xml:space="preserve">studies that found sex-biased pathology in house finches that is similar to our findings in canaries </w:t>
      </w:r>
      <w:r>
        <w:rPr>
          <w:rFonts w:ascii="Times New Roman" w:hAnsi="Times New Roman" w:cs="Times New Roman"/>
        </w:rPr>
        <w:fldChar w:fldCharType="begin"/>
      </w:r>
      <w:r w:rsidR="00EF4835">
        <w:rPr>
          <w:rFonts w:ascii="Times New Roman" w:hAnsi="Times New Roman" w:cs="Times New Roman"/>
        </w:rPr>
        <w:instrText xml:space="preserve"> ADDIN ZOTERO_ITEM CSL_CITATION {"citationID":"udb30Yc2","properties":{"formattedCitation":"(Adelman et al., 2015; Hawley et al., 2007; Moyers et al., 2018)","plainCitation":"(Adelman et al., 2015; Hawley et al., 2007; Moyers et al., 2018)","noteIndex":0},"citationItems":[{"id":11943,"uris":["http://zotero.org/users/6240348/items/7TY2MALJ"],"itemData":{"id":11943,"type":"article-journal","abstract":"Individual heterogeneity can influence the dynamics of infectious diseases in wildlife and humans alike. Thus, recent work has sought to identify behavioural characteristics that contribute disproportionately to individual variation in pathogen acquisition (super-receiving) or transmission (super-spreading). However, it remains unknown whether the same behaviours enhance both acquisition and transmission, a scenario likely to result in explosive epidemics. Here, we examined this possibility in an ecologically relevant host–pathogen system: house finches and their bacterial pathogen,\n              Mycoplasma gallisepticum\n              , which causes severe conjunctivitis. We examined behaviours likely to influence disease acquisition (feeder use, aggression, social network affiliations) in an observational field study, finding that the time an individual spends on bird feeders best predicted the risk of conjunctivitis. To test whether this behaviour also influences the likelihood of transmitting\n              M. gallisepticum\n              , we experimentally inoculated individuals based on feeding behaviour and tracked epidemics within captive flocks. As predicted, transmission was fastest when birds that spent the most time on feeders initiated the epidemic. Our results suggest that the same behaviour underlies both pathogen acquisition and transmission in this system and potentially others. Identifying individuals that exhibit such behaviours is critical for disease management.","container-title":"Proceedings of the Royal Society B: Biological Sciences","DOI":"10.1098/rspb.2015.1429","ISSN":"0962-8452, 1471-2954","issue":"1815","journalAbbreviation":"Proc. R. Soc. B.","language":"en","page":"20151429","source":"DOI.org (Crossref)","title":"Feeder use predicts both acquisition and transmission of a contagious pathogen in a North American songbird","volume":"282","author":[{"family":"Adelman","given":"James S."},{"family":"Moyers","given":"Sahnzi C."},{"family":"Farine","given":"Damien R."},{"family":"Hawley","given":"Dana M."}],"issued":{"date-parts":[["2015",9,22]]}}},{"id":13605,"uris":["http://zotero.org/users/6240348/items/R3RCDN57"],"itemData":{"id":13605,"type":"article-journal","container-title":"Functional Ecology","DOI":"10.1111/j.1365-2435.2007.01254.x","ISSN":"0269-8463, 1365-2435","issue":"3","journalAbbreviation":"Funct Ecology","language":"en","page":"520-527","source":"DOI.org (Crossref)","title":"Pathogen resistance and immunocompetence covary with social status in house finches (Carpodacus mexicanus)","volume":"21","author":[{"family":"Hawley","given":"D. M."},{"family":"Jennelle","given":"C. S."},{"family":"Sydenstricker","given":"K. V."},{"family":"Dhondt","given":"A. A."}],"issued":{"date-parts":[["2007",6]]}}},{"id":11921,"uris":["http://zotero.org/users/6240348/items/MQBD9XVR"],"itemData":{"id":11921,"type":"article-journal","abstract":"Anthropogenic food provisioning of wildlife can alter the frequency of contacts among hosts and between hosts and environmental sources of pathogens. Despite the popularity of garden bird feeding, few studies have addressed how feeders influence host contact rates and disease dynamics. We experimentally manipulated feeder density in replicate aviaries containing captive, pathogen-naive, groups of house finches (\n              Haemorhous mexicanus\n              ) and continuously tracked behaviours at feeders using radio-frequency identification devices. We then inoculated one bird per group with\n              Mycoplasma gallisepticum\n              (Mg), a common bacterial pathogen for which feeders are fomites of transmission, and assessed effects of feeder density on house finch behaviour and pathogen transmission. We found that pathogen transmission was significantly higher in groups with the highest density of bird feeders, despite a significantly lower rate of intraspecific aggressive interactions relative to the low feeder density groups. Conversely, among naive group members that never showed signs of disease, we saw significantly higher concentrations of Mg-specific antibodies in low feeder density groups, suggesting that birds in low feeder density treatments had exposure to subclinical doses of Mg. We discuss ways in which the density of garden bird feeders could play an important role in mediating the intensity of Mg epidemics.\n            \n            This article is part of the theme issue ‘Anthropogenic resource subsidies and host–parasite dynamics in wildlife'.","container-title":"Philosophical Transactions of the Royal Society B: Biological Sciences","DOI":"10.1098/rstb.2017.0090","ISSN":"0962-8436, 1471-2970","issue":"1745","journalAbbreviation":"Phil. Trans. R. Soc. B","language":"en","page":"20170090","source":"DOI.org (Crossref)","title":"Feeder density enhances house finch disease transmission in experimental epidemics","volume":"373","author":[{"family":"Moyers","given":"Sahnzi C."},{"family":"Adelman","given":"James S."},{"family":"Farine","given":"Damien R."},{"family":"Thomason","given":"Courtney A."},{"family":"Hawley","given":"Dana M."}],"issued":{"date-parts":[["2018",5,5]]}},"label":"page"}],"schema":"https://github.com/citation-style-language/schema/raw/master/csl-citation.json"} </w:instrText>
      </w:r>
      <w:r>
        <w:rPr>
          <w:rFonts w:ascii="Times New Roman" w:hAnsi="Times New Roman" w:cs="Times New Roman"/>
        </w:rPr>
        <w:fldChar w:fldCharType="separate"/>
      </w:r>
      <w:r w:rsidR="00EF4835">
        <w:rPr>
          <w:rFonts w:ascii="Times New Roman" w:hAnsi="Times New Roman" w:cs="Times New Roman"/>
          <w:noProof/>
        </w:rPr>
        <w:t>(Adelman et al., 2015; Hawley et al., 2007; Moyers et al., 2018)</w:t>
      </w:r>
      <w:r>
        <w:rPr>
          <w:rFonts w:ascii="Times New Roman" w:hAnsi="Times New Roman" w:cs="Times New Roman"/>
        </w:rPr>
        <w:fldChar w:fldCharType="end"/>
      </w:r>
      <w:r w:rsidR="007F05F7">
        <w:rPr>
          <w:rFonts w:ascii="Times New Roman" w:hAnsi="Times New Roman" w:cs="Times New Roman"/>
        </w:rPr>
        <w:t>. However, this pattern is inconsistent as there were many that found no difference between sexes</w:t>
      </w:r>
      <w:r w:rsidR="00B65F5C">
        <w:rPr>
          <w:rFonts w:ascii="Times New Roman" w:hAnsi="Times New Roman" w:cs="Times New Roman"/>
        </w:rPr>
        <w:t xml:space="preserve"> </w:t>
      </w:r>
      <w:r w:rsidR="00B65F5C">
        <w:rPr>
          <w:rFonts w:ascii="Times New Roman" w:hAnsi="Times New Roman" w:cs="Times New Roman"/>
        </w:rPr>
        <w:fldChar w:fldCharType="begin"/>
      </w:r>
      <w:r w:rsidR="00B65F5C">
        <w:rPr>
          <w:rFonts w:ascii="Times New Roman" w:hAnsi="Times New Roman" w:cs="Times New Roman"/>
        </w:rPr>
        <w:instrText xml:space="preserve"> ADDIN ZOTERO_ITEM CSL_CITATION {"citationID":"kT0opLQQ","properties":{"formattedCitation":"(Sydenstricker et al., 2006; Thomason et al., 2017; Vinkler et al., 2018; Weitzman et al., 2021)","plainCitation":"(Sydenstricker et al., 2006; Thomason et al., 2017; Vinkler et al., 2018; Weitzman et al., 2021)","noteIndex":0},"citationItems":[{"id":13117,"uris":["http://zotero.org/users/6240348/items/TV9U5GQP"],"itemData":{"id":13117,"type":"article-journal","container-title":"Avian Diseases","DOI":"10.1637/7403-062805R.1","ISSN":"0005-2086, 1938-4351","issue":"1","journalAbbreviation":"Avian Diseases","language":"en","page":"39-44","source":"DOI.org (Crossref)","title":"Characterization of Experimental Mycoplasma gallisepticum Infection in Captive House Finch Flocks","volume":"50","author":[{"family":"Sydenstricker","given":"Keila V."},{"family":"Dhondt","given":"André A."},{"family":"Hawley","given":"Dana M."},{"family":"Jennelle","given":"Christopher S."},{"family":"Kollias","given":"Heidi W."},{"family":"Kollias","given":"George V."}],"issued":{"date-parts":[["2006",3]]}}},{"id":13667,"uris":["http://zotero.org/users/6240348/items/WVZGELSJ"],"itemData":{"id":13667,"type":"article-journal","container-title":"Scientific Reports","issue":"1","note":"publisher: Nature Publishing Group UK London","page":"16177","title":"Resident microbiome disruption with antibiotics enhances virulence of a colonizing pathogen","volume":"7","author":[{"family":"Thomason","given":"Courtney A"},{"family":"Mullen","given":"Nathan"},{"family":"Belden","given":"Lisa K"},{"family":"May","given":"Meghan"},{"family":"Hawley","given":"Dana M"}],"issued":{"date-parts":[["2017"]]}}},{"id":11918,"uris":["http://zotero.org/users/6240348/items/MGZFYKCU"],"itemData":{"id":11918,"type":"article-journal","abstract":"The recent emergence of the poultry bacterial pathogen Mycoplasma gallisepticum (MG) in free-living house finches (Haemorhous mexicanus), which causes mycoplasmal conjunctivitis in this passerine bird species, resulted in a rapid co-evolutionary arms-race between MG and its novel avian host. Despite extensive research on the ecological and evolutionary dynamics of this host-pathogen system over the past two decades, the immunological responses of house finches to MG infection remain poorly understood. We developed seven new probe-based one-step RT-qPCR assays to investigate mRNA expression of house finch cytokine genes (IL1B, IL6, IL10, IL18, TGFB2, TNFSF15 and CXCLi2, syn. IL8L). These assays were then used to describe cytokine transcription profiles in a panel of 15 house finch tissues collected at three distinct time points during MG infection. Based on initial screening that indicated strong pro-inflammatory cytokine expression during MG infection at the periorbital sites in particular, we selected two key house finch tissues for further characterization: the nictitating membrane, i.e. the internal eyelid in direct contact with MG, and the Harderian gland, the secondary lymphoid tissue responsible for regulation of periorbital immunity. We characterized cytokine responses in these two tissues for sixty house finches experimentally inoculated either with media alone (sham) or one of two MG isolates: the earliest known pathogen isolate from house finches (VA1994) or an evolutionarily more derived isolate collected in 2006 (NC2006), which is known to be more virulent. We show that the more derived and virulent isolate NC2006, relative to VA1994, triggers stronger local inflammatory cytokine signalling, with peak cytokine expression generally occurring three to six days following MG inoculation. We also found that the extent of pro-inflammatory interleukin 1 beta signalling was correlated with conjunctival MG loads and the extent of clinical signs of conjunctivitis, the main pathological effect of MG in house finches. These results suggest that the pathogenicity caused by MG infection in house finches is largely mediated by host pro-inflammatory immune responses, with important implications for the dynamics of host-pathogen co-evolution.","container-title":"Frontiers in Immunology","DOI":"10.3389/fimmu.2018.00013","ISSN":"1664-3224","journalAbbreviation":"Front. Immunol.","language":"English","note":"publisher: Frontiers","source":"Frontiers","title":"Differing House Finch Cytokine Expression Responses to Original and Evolved Isolates of Mycoplasma gallisepticum","URL":"https://www.frontiersin.org/articles/10.3389/fimmu.2018.00013/full","volume":"9","author":[{"family":"Vinkler","given":"Michal"},{"family":"Leon","given":"Ariel E."},{"family":"Kirkpatrick","given":"Laila"},{"family":"Dalloul","given":"Rami A."},{"family":"Hawley","given":"Dana M."}],"accessed":{"date-parts":[["2020",12,1]]},"issued":{"date-parts":[["2018"]]}}},{"id":13668,"uris":["http://zotero.org/users/6240348/items/B3PWNUDQ"],"itemData":{"id":13668,"type":"article-journal","container-title":"FEMS Microbiology Ecology","issue":"11","note":"publisher: Oxford University Press","page":"fiab141","title":"Experimental test of microbiome protection across pathogen doses reveals importance of resident microbiome composition","volume":"97","author":[{"family":"Weitzman","given":"Chava L"},{"family":"Rostama","given":"Bahman"},{"family":"Thomason","given":"Courtney A"},{"family":"May","given":"Meghan"},{"family":"Belden","given":"Lisa K"},{"family":"Hawley","given":"Dana M"}],"issued":{"date-parts":[["2021"]]}}}],"schema":"https://github.com/citation-style-language/schema/raw/master/csl-citation.json"} </w:instrText>
      </w:r>
      <w:r w:rsidR="00B65F5C">
        <w:rPr>
          <w:rFonts w:ascii="Times New Roman" w:hAnsi="Times New Roman" w:cs="Times New Roman"/>
        </w:rPr>
        <w:fldChar w:fldCharType="separate"/>
      </w:r>
      <w:r w:rsidR="00B65F5C">
        <w:rPr>
          <w:rFonts w:ascii="Times New Roman" w:hAnsi="Times New Roman" w:cs="Times New Roman"/>
          <w:noProof/>
        </w:rPr>
        <w:t>(Sydenstricker et al., 2006; Thomason et al., 2017; Vinkler et al., 2018; Weitzman et al., 2021)</w:t>
      </w:r>
      <w:r w:rsidR="00B65F5C">
        <w:rPr>
          <w:rFonts w:ascii="Times New Roman" w:hAnsi="Times New Roman" w:cs="Times New Roman"/>
        </w:rPr>
        <w:fldChar w:fldCharType="end"/>
      </w:r>
      <w:r w:rsidR="00B65F5C">
        <w:rPr>
          <w:rFonts w:ascii="Times New Roman" w:hAnsi="Times New Roman" w:cs="Times New Roman"/>
        </w:rPr>
        <w:t xml:space="preserve"> and a couple that found higher female pathology in house finches </w:t>
      </w:r>
      <w:r w:rsidR="00B65F5C">
        <w:rPr>
          <w:rFonts w:ascii="Times New Roman" w:hAnsi="Times New Roman" w:cs="Times New Roman"/>
        </w:rPr>
        <w:fldChar w:fldCharType="begin"/>
      </w:r>
      <w:r w:rsidR="00757608">
        <w:rPr>
          <w:rFonts w:ascii="Times New Roman" w:hAnsi="Times New Roman" w:cs="Times New Roman"/>
        </w:rPr>
        <w:instrText xml:space="preserve"> ADDIN ZOTERO_ITEM CSL_CITATION {"citationID":"3wNycpyo","properties":{"formattedCitation":"(Altizer et al., 2004; Leon &amp; Hawley, 2017)","plainCitation":"(Altizer et al., 2004; Leon &amp; Hawley, 2017)","noteIndex":0},"citationItems":[{"id":11917,"uris":["http://zotero.org/users/6240348/items/CWLQG3HV"],"itemData":{"id":11917,"type":"article-journal","abstract":"1. Mycoplasma gallisepticum is an emergingcye disease that spread rapidly among wild house finches (Carpodacus mexicanus) in the eastern United States following initial reports of infected birds in 1994. The hallmark signs of infection have allowed systematic monitoring of disease at both local and continent-wide scales for more than 7 years since the onset of the epidemic. 2. Using data collected by a network of citizen science volunteers, we examined both long-term trends and seasonal dynamics of mycoplasmal conjunctivitis in three different climatic regions in eastern North America over a 77-month period (November 1994-March 2001). 3. Time-series prevalence data from all three regions suggest that following establishment, marked seasonal fluctuations in prevalence each year were characterized by autumn-winter epidemics (in October and February) and consistent summer declines (with prevalence falling close to zero from May to July). 4. The maximum peak, annual rates of increase and timing of epidemics varied among three geographical locations that were delineated by minimum winter temperatures. Annual autumn prevalence in the South increased more rapidly, and maximum prevalence was nearly three times greater in the South than in the colder North and Central regions. 5. Longer-term trends showed evidence for multiyear fluctuations in prevalence that were characterized by greater amplitude in the southern region. 6. Finally, monthly estimates of house finch flock sizes derived from a similar citizen science data set showed that winter flock sizes were associated positively with average monthly prevalence in the northern and central regions, although regional differences in flock sizes did not correspond to regional differences in maximum prevalence. 7. This study represents the first evidence of multiyear fluctuations, regional differences and highly predictable annual outbreaks of this recently emerged wildlife pathogen. Several factors associated with house finch life history and behaviour are likely to contribute to temporal and spatial variation in prevalence, including annual changes in host reproduction, social behaviour and environmental effects on host stress or immunocompetence.","container-title":"Journal of Animal Ecology","ISSN":"0021-8790","issue":"2","note":"publisher: [Wiley, British Ecological Society]","page":"309-322","source":"JSTOR","title":"Seasonal Dynamics of Mycoplasmal Conjunctivitis in Eastern North American House Finches","volume":"73","author":[{"family":"Altizer","given":"Sonia"},{"family":"Hochachka","given":"Wesley M."},{"family":"Dhondt","given":"André A."}],"issued":{"date-parts":[["2004"]]}}},{"id":13665,"uris":["http://zotero.org/users/6240348/items/37JHZ55E"],"itemData":{"id":13665,"type":"article-journal","container-title":"Ecohealth","note":"publisher: Springer","page":"793–804","title":"Host responses to pathogen priming in a natural songbird host","volume":"14","author":[{"family":"Leon","given":"Ariel E"},{"family":"Hawley","given":"Dana M"}],"issued":{"date-parts":[["2017"]]}}}],"schema":"https://github.com/citation-style-language/schema/raw/master/csl-citation.json"} </w:instrText>
      </w:r>
      <w:r w:rsidR="00B65F5C">
        <w:rPr>
          <w:rFonts w:ascii="Times New Roman" w:hAnsi="Times New Roman" w:cs="Times New Roman"/>
        </w:rPr>
        <w:fldChar w:fldCharType="separate"/>
      </w:r>
      <w:r w:rsidR="00757608">
        <w:rPr>
          <w:rFonts w:ascii="Times New Roman" w:hAnsi="Times New Roman" w:cs="Times New Roman"/>
          <w:noProof/>
        </w:rPr>
        <w:t>(Altizer et al., 2004; Leon &amp; Hawley, 2017)</w:t>
      </w:r>
      <w:r w:rsidR="00B65F5C">
        <w:rPr>
          <w:rFonts w:ascii="Times New Roman" w:hAnsi="Times New Roman" w:cs="Times New Roman"/>
        </w:rPr>
        <w:fldChar w:fldCharType="end"/>
      </w:r>
      <w:r>
        <w:rPr>
          <w:rFonts w:ascii="Times New Roman" w:hAnsi="Times New Roman" w:cs="Times New Roman"/>
        </w:rPr>
        <w:t xml:space="preserve">. </w:t>
      </w:r>
    </w:p>
    <w:p w14:paraId="30CF299F" w14:textId="15F5E40C" w:rsidR="00FE2A33" w:rsidRDefault="00FE2A33" w:rsidP="008F44CA">
      <w:pPr>
        <w:spacing w:line="480" w:lineRule="auto"/>
        <w:ind w:firstLine="720"/>
        <w:rPr>
          <w:rFonts w:ascii="Times New Roman" w:hAnsi="Times New Roman" w:cs="Times New Roman"/>
        </w:rPr>
      </w:pPr>
      <w:r>
        <w:rPr>
          <w:rFonts w:ascii="Times New Roman" w:hAnsi="Times New Roman" w:cs="Times New Roman"/>
        </w:rPr>
        <w:t>Canaries were housed individually in cages with ad libitum access to water and food on a 12L:12D light cycle. Exposed (</w:t>
      </w:r>
      <w:r w:rsidRPr="004D54C0">
        <w:rPr>
          <w:rFonts w:ascii="Times New Roman" w:hAnsi="Times New Roman" w:cs="Times New Roman"/>
          <w:i/>
          <w:iCs/>
        </w:rPr>
        <w:t>N</w:t>
      </w:r>
      <w:r>
        <w:rPr>
          <w:rFonts w:ascii="Times New Roman" w:hAnsi="Times New Roman" w:cs="Times New Roman"/>
        </w:rPr>
        <w:t xml:space="preserve"> = 13; 6 female, 7 male) and sham-exposed individuals (</w:t>
      </w:r>
      <w:r w:rsidRPr="004D54C0">
        <w:rPr>
          <w:rFonts w:ascii="Times New Roman" w:hAnsi="Times New Roman" w:cs="Times New Roman"/>
          <w:i/>
          <w:iCs/>
        </w:rPr>
        <w:t>N</w:t>
      </w:r>
      <w:r>
        <w:rPr>
          <w:rFonts w:ascii="Times New Roman" w:hAnsi="Times New Roman" w:cs="Times New Roman"/>
        </w:rPr>
        <w:t xml:space="preserve"> = 12; 6 female, 6 male) were housed on separate racks separated by an opaque room divider to prevent exposure to the pathogen or disease-related social cues </w:t>
      </w:r>
      <w:r>
        <w:rPr>
          <w:rFonts w:ascii="Times New Roman" w:hAnsi="Times New Roman" w:cs="Times New Roman"/>
        </w:rPr>
        <w:fldChar w:fldCharType="begin"/>
      </w:r>
      <w:r>
        <w:rPr>
          <w:rFonts w:ascii="Times New Roman" w:hAnsi="Times New Roman" w:cs="Times New Roman"/>
        </w:rPr>
        <w:instrText xml:space="preserve"> ADDIN ZOTERO_ITEM CSL_CITATION {"citationID":"eS1FGxjc","properties":{"formattedCitation":"(Love et al., 2021)","plainCitation":"(Love et al., 2021)","noteIndex":0},"citationItems":[{"id":12838,"uris":["http://zotero.org/users/6240348/items/AMEL7A2D"],"itemData":{"id":12838,"type":"article-journal","abstract":"While avoidance of sick conspecifics is common among animals, little is known about how detecting diseased conspecifics influences an organism's physiological state, despite its implications for disease transmission dynamics. The avian pathogen\n              Mycoplasma gallisepticum\n              (MG) causes obvious visual signs of infection in domestic canaries (\n              Serinus canaria domestica\n              ), including lethargy and conjunctivitis, making this system a useful tool for investigating how the perception of cues from sick individuals shapes immunity in healthy individuals. We tested whether disease-related social information can stimulate immune responses in canaries housed in visual contact with either healthy or MG-infected conspecifics. We found higher complement activity and higher heterophil counts in healthy birds viewing MG-infected individuals around 6–12 days post-inoculation, which corresponded with the greatest degree of disease pathology in infected stimulus birds. However, we did not detect the effects of disease-related social cues on the expression of two proinflammatory cytokines in the blood. These data indicate that social cues of infection can alter immune responses in healthy individuals and suggest that public information about the disease can shape how individuals respond to infection.","container-title":"Biology Letters","DOI":"10.1098/rsbl.2021.0125","ISSN":"1744-957X","issue":"6","journalAbbreviation":"Biol. Lett.","language":"en","page":"20210125","source":"DOI.org (Crossref)","title":"Perception of infection: disease-related social cues influence immunity in songbirds","title-short":"Perception of infection","volume":"17","author":[{"family":"Love","given":"Ashley C."},{"family":"Grisham","given":"Kevin"},{"family":"Krall","given":"Jeffrey B."},{"family":"Goodchild","given":"Christopher G."},{"family":"DuRant","given":"Sarah E."}],"issued":{"date-parts":[["2021",6]]}}}],"schema":"https://github.com/citation-style-language/schema/raw/master/csl-citation.json"}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(Love et al., 2021)</w:t>
      </w:r>
      <w:r>
        <w:rPr>
          <w:rFonts w:ascii="Times New Roman" w:hAnsi="Times New Roman" w:cs="Times New Roman"/>
        </w:rPr>
        <w:fldChar w:fldCharType="end"/>
      </w:r>
      <w:r>
        <w:rPr>
          <w:rFonts w:ascii="Times New Roman" w:hAnsi="Times New Roman" w:cs="Times New Roman"/>
        </w:rPr>
        <w:t xml:space="preserve">. Sexes were randomly distributed within racks. On day 0, birds were inoculated in the palpebral conjunctiva of both eyes with either 0.025 mL of </w:t>
      </w:r>
      <w:r w:rsidRPr="009871D1">
        <w:rPr>
          <w:rFonts w:ascii="Times New Roman" w:hAnsi="Times New Roman" w:cs="Times New Roman"/>
        </w:rPr>
        <w:t>MG</w:t>
      </w:r>
      <w:r>
        <w:rPr>
          <w:rFonts w:ascii="Times New Roman" w:hAnsi="Times New Roman" w:cs="Times New Roman"/>
        </w:rPr>
        <w:t xml:space="preserve"> suspended in Frey’s media</w:t>
      </w:r>
      <w:r>
        <w:rPr>
          <w:rFonts w:ascii="Times New Roman" w:hAnsi="Times New Roman" w:cs="Times New Roman"/>
          <w:i/>
          <w:iCs/>
        </w:rPr>
        <w:t xml:space="preserve"> </w:t>
      </w:r>
      <w:r>
        <w:rPr>
          <w:rFonts w:ascii="Times New Roman" w:hAnsi="Times New Roman" w:cs="Times New Roman"/>
        </w:rPr>
        <w:t>(5.00x10</w:t>
      </w:r>
      <w:r>
        <w:rPr>
          <w:rFonts w:ascii="Times New Roman" w:hAnsi="Times New Roman" w:cs="Times New Roman"/>
          <w:vertAlign w:val="superscript"/>
        </w:rPr>
        <w:t>7</w:t>
      </w:r>
      <w:r>
        <w:rPr>
          <w:rFonts w:ascii="Times New Roman" w:hAnsi="Times New Roman" w:cs="Times New Roman"/>
        </w:rPr>
        <w:t xml:space="preserve"> CCU/mL; VA1994; E. </w:t>
      </w:r>
      <w:proofErr w:type="spellStart"/>
      <w:r>
        <w:rPr>
          <w:rFonts w:ascii="Times New Roman" w:hAnsi="Times New Roman" w:cs="Times New Roman"/>
        </w:rPr>
        <w:t>Tulman</w:t>
      </w:r>
      <w:proofErr w:type="spellEnd"/>
      <w:r w:rsidRPr="009871D1">
        <w:rPr>
          <w:rFonts w:ascii="Times New Roman" w:hAnsi="Times New Roman" w:cs="Times New Roman"/>
        </w:rPr>
        <w:t>,</w:t>
      </w:r>
      <w:r>
        <w:rPr>
          <w:rFonts w:ascii="Times New Roman" w:hAnsi="Times New Roman" w:cs="Times New Roman"/>
        </w:rPr>
        <w:t xml:space="preserve"> University of Connecticut) or with a sham of Frey’s media alone. </w:t>
      </w:r>
      <w:r w:rsidR="003848FB" w:rsidRPr="003848FB">
        <w:rPr>
          <w:rFonts w:ascii="Times New Roman" w:hAnsi="Times New Roman" w:cs="Times New Roman"/>
        </w:rPr>
        <w:t>Canary experimental methods were approved by the University of Arkansas International Animal Care and Use Committee.</w:t>
      </w:r>
    </w:p>
    <w:p w14:paraId="167C98D3" w14:textId="0B28F436" w:rsidR="00FE2A33" w:rsidRDefault="00FE2A33" w:rsidP="00FE2A33">
      <w:pPr>
        <w:spacing w:line="480" w:lineRule="auto"/>
        <w:rPr>
          <w:rFonts w:ascii="Times New Roman" w:hAnsi="Times New Roman" w:cs="Times New Roman"/>
        </w:rPr>
      </w:pPr>
      <w:r>
        <w:rPr>
          <w:rFonts w:ascii="Times New Roman" w:hAnsi="Times New Roman" w:cs="Times New Roman"/>
          <w:i/>
          <w:iCs/>
        </w:rPr>
        <w:t>Host responses</w:t>
      </w:r>
      <w:r>
        <w:rPr>
          <w:rFonts w:ascii="Times New Roman" w:hAnsi="Times New Roman" w:cs="Times New Roman"/>
        </w:rPr>
        <w:t xml:space="preserve"> – Disease pathology in canaries was assessed using conjunctival inflammation or “eye score” </w:t>
      </w:r>
      <w:r>
        <w:rPr>
          <w:rFonts w:ascii="Times New Roman" w:hAnsi="Times New Roman" w:cs="Times New Roman"/>
        </w:rPr>
        <w:fldChar w:fldCharType="begin"/>
      </w:r>
      <w:r>
        <w:rPr>
          <w:rFonts w:ascii="Times New Roman" w:hAnsi="Times New Roman" w:cs="Times New Roman"/>
        </w:rPr>
        <w:instrText xml:space="preserve"> ADDIN ZOTERO_ITEM CSL_CITATION {"citationID":"LDKM3uzL","properties":{"formattedCitation":"(0-3 scale per eye, summed to get \\uc0\\u8220{}total eye score\\uc0\\u8221{}; modified from Sydenstricker et al., 2006)","plainCitation":"(0-3 scale per eye, summed to get “total eye score”; modified from Sydenstricker et al., 2006)","noteIndex":0},"citationItems":[{"id":13117,"uris":["http://zotero.org/users/6240348/items/TV9U5GQP"],"itemData":{"id":13117,"type":"article-journal","container-title":"Avian Diseases","DOI":"10.1637/7403-062805R.1","ISSN":"0005-2086, 1938-4351","issue":"1","journalAbbreviation":"Avian Diseases","language":"en","page":"39-44","source":"DOI.org (Crossref)","title":"Characterization of Experimental Mycoplasma gallisepticum Infection in Captive House Finch Flocks","volume":"50","author":[{"family":"Sydenstricker","given":"Keila V."},{"family":"Dhondt","given":"André A."},{"family":"Hawley","given":"Dana M."},{"family":"Jennelle","given":"Christopher S."},{"family":"Kollias","given":"Heidi W."},{"family":"Kollias","given":"George V."}],"issued":{"date-parts":[["2006",3]]}},"prefix":"0-3 scale per eye, summed to get “total eye score”; modified from"}],"schema":"https://github.com/citation-style-language/schema/raw/master/csl-citation.json"} </w:instrText>
      </w:r>
      <w:r>
        <w:rPr>
          <w:rFonts w:ascii="Times New Roman" w:hAnsi="Times New Roman" w:cs="Times New Roman"/>
        </w:rPr>
        <w:fldChar w:fldCharType="separate"/>
      </w:r>
      <w:r w:rsidRPr="00FE2A33">
        <w:rPr>
          <w:rFonts w:ascii="Times New Roman" w:hAnsi="Times New Roman" w:cs="Times New Roman"/>
        </w:rPr>
        <w:t>(0-3 scale per eye, summed to get “total eye score”; modified from Sydenstricker et al., 2006)</w:t>
      </w:r>
      <w:r>
        <w:rPr>
          <w:rFonts w:ascii="Times New Roman" w:hAnsi="Times New Roman" w:cs="Times New Roman"/>
        </w:rPr>
        <w:fldChar w:fldCharType="end"/>
      </w:r>
      <w:r>
        <w:rPr>
          <w:rFonts w:ascii="Times New Roman" w:hAnsi="Times New Roman" w:cs="Times New Roman"/>
        </w:rPr>
        <w:t xml:space="preserve">, body mass (g), and furcular fat score (0-3 scale in 0.5 intervals). Eye scores were recorded on days 0, 1, 3, 5, 7, then twice a week until day 35. Body mass and fat scores were recorded prior to exposure and on days 7, 14, 21, and 35. Blood samples and eye swabs were collected prior to exposure and on days 7, 14, and 21. During swabbing, a sterile swab was twirled along the conjunctiva of each eye for 5 sec and stored at -20°C. MG DNA was extracted using Qiagen </w:t>
      </w:r>
      <w:proofErr w:type="spellStart"/>
      <w:r>
        <w:rPr>
          <w:rFonts w:ascii="Times New Roman" w:hAnsi="Times New Roman" w:cs="Times New Roman"/>
        </w:rPr>
        <w:t>DNeasy</w:t>
      </w:r>
      <w:proofErr w:type="spellEnd"/>
      <w:r>
        <w:rPr>
          <w:rFonts w:ascii="Times New Roman" w:hAnsi="Times New Roman" w:cs="Times New Roman"/>
        </w:rPr>
        <w:t xml:space="preserve"> Blood and Tissue protocol (Qiagen, Inc., Valencia, CA) and quantified to </w:t>
      </w:r>
      <w:r>
        <w:rPr>
          <w:rFonts w:ascii="Times New Roman" w:hAnsi="Times New Roman" w:cs="Times New Roman"/>
        </w:rPr>
        <w:lastRenderedPageBreak/>
        <w:t xml:space="preserve">determine pathogen load using qPCR methods based on </w:t>
      </w:r>
      <w:proofErr w:type="spellStart"/>
      <w:r>
        <w:rPr>
          <w:rFonts w:ascii="Times New Roman" w:hAnsi="Times New Roman" w:cs="Times New Roman"/>
        </w:rPr>
        <w:t>Grodio</w:t>
      </w:r>
      <w:proofErr w:type="spellEnd"/>
      <w:r>
        <w:rPr>
          <w:rFonts w:ascii="Times New Roman" w:hAnsi="Times New Roman" w:cs="Times New Roman"/>
        </w:rPr>
        <w:t xml:space="preserve"> </w:t>
      </w:r>
      <w:r w:rsidRPr="00E72AEA">
        <w:rPr>
          <w:rFonts w:ascii="Times New Roman" w:hAnsi="Times New Roman" w:cs="Times New Roman"/>
          <w:i/>
          <w:iCs/>
        </w:rPr>
        <w:t>et al.</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{"citationID":"n0FkIe9H","properties":{"formattedCitation":"(2008)","plainCitation":"(2008)","noteIndex":0},"citationItems":[{"id":13585,"uris":["http://zotero.org/users/6240348/items/DJS28THU"],"itemData":{"id":13585,"type":"article-journal","container-title":"Avian Pathology","issue":"4","note":"publisher: Taylor &amp; Francis","page":"385–391","title":"Detection and quantification of Mycoplasma gallisepticum genome load in conjunctival samples of experimentally infected house finches (Carpodacus mexicanus) using real-time polymerase chain reaction","volume":"37","author":[{"family":"Grodio","given":"Jessica L"},{"family":"Dhondt","given":"Keila V"},{"family":"O'Connell","given":"Priscilla H"},{"family":"Schat","given":"Karel A"}],"issued":{"date-parts":[["2008"]]}},"suppress-author":true}],"schema":"https://github.com/citation-style-language/schema/raw/master/csl-citation.json"}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(2008)</w:t>
      </w:r>
      <w:r>
        <w:rPr>
          <w:rFonts w:ascii="Times New Roman" w:hAnsi="Times New Roman" w:cs="Times New Roman"/>
        </w:rPr>
        <w:fldChar w:fldCharType="end"/>
      </w:r>
      <w:r>
        <w:rPr>
          <w:rFonts w:ascii="Times New Roman" w:hAnsi="Times New Roman" w:cs="Times New Roman"/>
        </w:rPr>
        <w:t xml:space="preserve"> with </w:t>
      </w:r>
      <w:proofErr w:type="spellStart"/>
      <w:r>
        <w:rPr>
          <w:rFonts w:ascii="Times New Roman" w:hAnsi="Times New Roman" w:cs="Times New Roman"/>
        </w:rPr>
        <w:t>gBlock</w:t>
      </w:r>
      <w:proofErr w:type="spellEnd"/>
      <w:r>
        <w:rPr>
          <w:rFonts w:ascii="Times New Roman" w:hAnsi="Times New Roman" w:cs="Times New Roman"/>
        </w:rPr>
        <w:t xml:space="preserve">® plasmid-based standards (Integrated DNA Technologies, Skokie, IL) described in Adelman </w:t>
      </w:r>
      <w:r w:rsidRPr="006B296F">
        <w:rPr>
          <w:rFonts w:ascii="Times New Roman" w:hAnsi="Times New Roman" w:cs="Times New Roman"/>
          <w:i/>
          <w:iCs/>
        </w:rPr>
        <w:t>et al.</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{"citationID":"6D9ixfD0","properties":{"formattedCitation":"(2013)","plainCitation":"(2013)","noteIndex":0},"citationItems":[{"id":11902,"uris":["http://zotero.org/users/6240348/items/NPLWS68D"],"itemData":{"id":11902,"type":"article-journal","abstract":"Host individuals and populations often vary in their responses to infection, with direct consequences for pathogen spread and evolution. While considerable work has focused on the mechanisms underlying differences in resistance—the ability to kill pathogens—we know little about the mechanisms underlying tolerance—the ability to minimize ﬁtness losses per unit pathogen. Here, we examine patterns and mechanisms of tolerance between two populations of house ﬁnches (Haemorhous [formerly Carpodacus] mexicanus) with different histories with the bacterial pathogen Mycoplasma gallisepticum (MG). After infection in a common environment, we assessed two metrics of pathology, mass loss and eye lesion severity, as proxies for ﬁtness. We calculated tolerance using two methods, one based on pathology and pathogen load at the peak of infection (point tolerance) and the other based on the integrals of these metrics over time (range tolerance). Alabama birds, which have a signiﬁcantly longer history of exposure to MG, showed more pronounced point tolerance than Arizona birds, while range tolerance did not differ between populations. Alabama birds also displayed lower inﬂammatory cytokine signaling and lower fever early in infection. These results suggest that differences in inﬂammatory processes, which can signiﬁcantly damage host tissues, may contribute to variation in tolerance among house ﬁnch individuals and populations. Such variation can affect pathogen spread and evolution in ways not predictable by resistance alone and sheds light on the costs and beneﬁts of inﬂammation in wild animals.","container-title":"The American Naturalist","DOI":"10.1086/670024","ISSN":"0003-0147, 1537-5323","issue":"5","journalAbbreviation":"The American Naturalist","language":"en","page":"674-689","source":"DOI.org (Crossref)","title":"House Finch Populations Differ in Early Inflammatory Signaling and Pathogen Tolerance at the Peak of &lt;i&gt;Mycoplasma gallisepticum&lt;/i&gt; Infection","volume":"181","author":[{"family":"Adelman","given":"James S."},{"family":"Kirkpatrick","given":"Laila"},{"family":"Grodio","given":"Jessica L."},{"family":"Hawley","given":"Dana M."}],"issued":{"date-parts":[["2013",5]]}},"suppress-author":true}],"schema":"https://github.com/citation-style-language/schema/raw/master/csl-citation.json"}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(2013)</w:t>
      </w:r>
      <w:r>
        <w:rPr>
          <w:rFonts w:ascii="Times New Roman" w:hAnsi="Times New Roman" w:cs="Times New Roman"/>
        </w:rPr>
        <w:fldChar w:fldCharType="end"/>
      </w:r>
      <w:r>
        <w:rPr>
          <w:rFonts w:ascii="Times New Roman" w:hAnsi="Times New Roman" w:cs="Times New Roman"/>
        </w:rPr>
        <w:t xml:space="preserve">. All birds were confirmed to be uninfected before the start of the experiment and sham-exposed birds never developed symptoms or tested positive for MG. </w:t>
      </w:r>
    </w:p>
    <w:p w14:paraId="44FF84E2" w14:textId="77777777" w:rsidR="00FE2A33" w:rsidRDefault="00FE2A33" w:rsidP="00FE2A33">
      <w:pPr>
        <w:spacing w:line="480" w:lineRule="auto"/>
        <w:ind w:firstLine="720"/>
        <w:rPr>
          <w:rFonts w:ascii="Times New Roman" w:hAnsi="Times New Roman" w:cs="Times New Roman"/>
        </w:rPr>
      </w:pPr>
      <w:r>
        <w:rPr>
          <w:rFonts w:ascii="Times New Roman" w:hAnsi="Times New Roman" w:cs="Times New Roman"/>
        </w:rPr>
        <w:t>Blood samples were used to measure MG-specific antibody response,</w:t>
      </w:r>
      <w:r w:rsidRPr="00EB26BB">
        <w:rPr>
          <w:rFonts w:ascii="Times New Roman" w:hAnsi="Times New Roman" w:cs="Times New Roman"/>
        </w:rPr>
        <w:t xml:space="preserve"> </w:t>
      </w:r>
      <w:r>
        <w:rPr>
          <w:rFonts w:ascii="Times New Roman" w:hAnsi="Times New Roman" w:cs="Times New Roman"/>
        </w:rPr>
        <w:t xml:space="preserve">hematocrit, and differential leukocyte counts. Plasma was separated from whole blood after extraction and stored at -20°C. MG-specific </w:t>
      </w:r>
      <w:proofErr w:type="spellStart"/>
      <w:r>
        <w:rPr>
          <w:rFonts w:ascii="Times New Roman" w:hAnsi="Times New Roman" w:cs="Times New Roman"/>
        </w:rPr>
        <w:t>IgY</w:t>
      </w:r>
      <w:proofErr w:type="spellEnd"/>
      <w:r>
        <w:rPr>
          <w:rFonts w:ascii="Times New Roman" w:hAnsi="Times New Roman" w:cs="Times New Roman"/>
        </w:rPr>
        <w:t xml:space="preserve"> titers were quantified using an enzyme-linked immunosorbent assay (ELISA) kit (</w:t>
      </w:r>
      <w:proofErr w:type="spellStart"/>
      <w:r>
        <w:rPr>
          <w:rFonts w:ascii="Times New Roman" w:hAnsi="Times New Roman" w:cs="Times New Roman"/>
        </w:rPr>
        <w:t>FlockChek</w:t>
      </w:r>
      <w:proofErr w:type="spellEnd"/>
      <w:r>
        <w:rPr>
          <w:rFonts w:ascii="Times New Roman" w:hAnsi="Times New Roman" w:cs="Times New Roman"/>
        </w:rPr>
        <w:t xml:space="preserve"> </w:t>
      </w:r>
      <w:r w:rsidRPr="000B5375">
        <w:rPr>
          <w:rFonts w:ascii="Times New Roman" w:hAnsi="Times New Roman" w:cs="Times New Roman"/>
          <w:i/>
          <w:iCs/>
        </w:rPr>
        <w:t xml:space="preserve">M. </w:t>
      </w:r>
      <w:proofErr w:type="spellStart"/>
      <w:r w:rsidRPr="000B5375">
        <w:rPr>
          <w:rFonts w:ascii="Times New Roman" w:hAnsi="Times New Roman" w:cs="Times New Roman"/>
          <w:i/>
          <w:iCs/>
        </w:rPr>
        <w:t>gallisepticum</w:t>
      </w:r>
      <w:proofErr w:type="spellEnd"/>
      <w:r>
        <w:rPr>
          <w:rFonts w:ascii="Times New Roman" w:hAnsi="Times New Roman" w:cs="Times New Roman"/>
        </w:rPr>
        <w:t xml:space="preserve"> ELISA kit, IDEXX, Westbrook, ME) with minor modifications following Love </w:t>
      </w:r>
      <w:r w:rsidRPr="005B276B">
        <w:rPr>
          <w:rFonts w:ascii="Times New Roman" w:hAnsi="Times New Roman" w:cs="Times New Roman"/>
          <w:i/>
          <w:iCs/>
        </w:rPr>
        <w:t>et al</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{"citationID":"z9Iup1Jr","properties":{"formattedCitation":"(2021)","plainCitation":"(2021)","noteIndex":0},"citationItems":[{"id":12838,"uris":["http://zotero.org/users/6240348/items/AMEL7A2D"],"itemData":{"id":12838,"type":"article-journal","abstract":"While avoidance of sick conspecifics is common among animals, little is known about how detecting diseased conspecifics influences an organism's physiological state, despite its implications for disease transmission dynamics. The avian pathogen\n              Mycoplasma gallisepticum\n              (MG) causes obvious visual signs of infection in domestic canaries (\n              Serinus canaria domestica\n              ), including lethargy and conjunctivitis, making this system a useful tool for investigating how the perception of cues from sick individuals shapes immunity in healthy individuals. We tested whether disease-related social information can stimulate immune responses in canaries housed in visual contact with either healthy or MG-infected conspecifics. We found higher complement activity and higher heterophil counts in healthy birds viewing MG-infected individuals around 6–12 days post-inoculation, which corresponded with the greatest degree of disease pathology in infected stimulus birds. However, we did not detect the effects of disease-related social cues on the expression of two proinflammatory cytokines in the blood. These data indicate that social cues of infection can alter immune responses in healthy individuals and suggest that public information about the disease can shape how individuals respond to infection.","container-title":"Biology Letters","DOI":"10.1098/rsbl.2021.0125","ISSN":"1744-957X","issue":"6","journalAbbreviation":"Biol. Lett.","language":"en","page":"20210125","source":"DOI.org (Crossref)","title":"Perception of infection: disease-related social cues influence immunity in songbirds","title-short":"Perception of infection","volume":"17","author":[{"family":"Love","given":"Ashley C."},{"family":"Grisham","given":"Kevin"},{"family":"Krall","given":"Jeffrey B."},{"family":"Goodchild","given":"Christopher G."},{"family":"DuRant","given":"Sarah E."}],"issued":{"date-parts":[["2021",6]]}},"suppress-author":true}],"schema":"https://github.com/citation-style-language/schema/raw/master/csl-citation.json"}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(2021)</w:t>
      </w:r>
      <w:r>
        <w:rPr>
          <w:rFonts w:ascii="Times New Roman" w:hAnsi="Times New Roman" w:cs="Times New Roman"/>
        </w:rPr>
        <w:fldChar w:fldCharType="end"/>
      </w:r>
      <w:r>
        <w:rPr>
          <w:rFonts w:ascii="Times New Roman" w:hAnsi="Times New Roman" w:cs="Times New Roman"/>
        </w:rPr>
        <w:t xml:space="preserve">. Relative abundance of leukocytes </w:t>
      </w:r>
      <w:proofErr w:type="gramStart"/>
      <w:r>
        <w:rPr>
          <w:rFonts w:ascii="Times New Roman" w:hAnsi="Times New Roman" w:cs="Times New Roman"/>
        </w:rPr>
        <w:t>were</w:t>
      </w:r>
      <w:proofErr w:type="gramEnd"/>
      <w:r>
        <w:rPr>
          <w:rFonts w:ascii="Times New Roman" w:hAnsi="Times New Roman" w:cs="Times New Roman"/>
        </w:rPr>
        <w:t xml:space="preserve"> quantified blind of treatment from the feathered edge of blood smears (</w:t>
      </w:r>
      <w:proofErr w:type="spellStart"/>
      <w:r>
        <w:rPr>
          <w:rFonts w:ascii="Times New Roman" w:hAnsi="Times New Roman" w:cs="Times New Roman"/>
        </w:rPr>
        <w:t>JorVet</w:t>
      </w:r>
      <w:proofErr w:type="spellEnd"/>
      <w:r>
        <w:rPr>
          <w:rFonts w:ascii="Times New Roman" w:hAnsi="Times New Roman" w:cs="Times New Roman"/>
        </w:rPr>
        <w:t xml:space="preserve"> Dip Quick Stain Kin, Jorgensen Labs, Loveland, CO) by classifying the first 100 white blood cells observed (basophil, eosinophil, heterophil, lymphocyte, &amp; monocyte). Relative abundance was quantified prior to and one week post exposure and the difference in pre- to post-abundance were calculated and compared (see statistical analysis). The canary experimental exposures and sampling timelines described above were designed for an unrelated study which is described in the Supplemental Methods.</w:t>
      </w:r>
    </w:p>
    <w:p w14:paraId="1999AEB7" w14:textId="77777777" w:rsidR="00FE2A33" w:rsidRDefault="00FE2A33" w:rsidP="00FE2A33">
      <w:pPr>
        <w:spacing w:line="480" w:lineRule="auto"/>
        <w:rPr>
          <w:rFonts w:ascii="Times New Roman" w:hAnsi="Times New Roman" w:cs="Times New Roman"/>
        </w:rPr>
      </w:pPr>
      <w:r w:rsidRPr="00EB26BB">
        <w:rPr>
          <w:rFonts w:ascii="Times New Roman" w:hAnsi="Times New Roman" w:cs="Times New Roman"/>
          <w:i/>
          <w:iCs/>
        </w:rPr>
        <w:t>Statistical analysis</w:t>
      </w:r>
      <w:r>
        <w:rPr>
          <w:rFonts w:ascii="Times New Roman" w:hAnsi="Times New Roman" w:cs="Times New Roman"/>
        </w:rPr>
        <w:t xml:space="preserve"> – All statistics were conducted with R version 4.1.0 in R Studio </w:t>
      </w:r>
      <w:r>
        <w:rPr>
          <w:rFonts w:ascii="Times New Roman" w:hAnsi="Times New Roman" w:cs="Times New Roman"/>
        </w:rPr>
        <w:fldChar w:fldCharType="begin"/>
      </w:r>
      <w:r>
        <w:rPr>
          <w:rFonts w:ascii="Times New Roman" w:hAnsi="Times New Roman" w:cs="Times New Roman"/>
        </w:rPr>
        <w:instrText xml:space="preserve"> ADDIN ZOTERO_ITEM CSL_CITATION {"citationID":"734otpsi","properties":{"formattedCitation":"(RStudio Team, 2021)","plainCitation":"(RStudio Team, 2021)","noteIndex":0},"citationItems":[{"id":13023,"uris":["http://zotero.org/users/6240348/items/TJ55QDKL"],"itemData":{"id":13023,"type":"book","event-place":"Boston, MA","publisher":"RStudio, PBC","publisher-place":"Boston, MA","title":"RStudio: Integrated Development Environment for R","URL":"http://www.rstudio.com/","author":[{"literal":"RStudio Team"}],"issued":{"date-parts":[["2021"]]}}}],"schema":"https://github.com/citation-style-language/schema/raw/master/csl-citation.json"}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(RStudio Team, 2021)</w:t>
      </w:r>
      <w:r>
        <w:rPr>
          <w:rFonts w:ascii="Times New Roman" w:hAnsi="Times New Roman" w:cs="Times New Roman"/>
        </w:rPr>
        <w:fldChar w:fldCharType="end"/>
      </w:r>
      <w:r>
        <w:rPr>
          <w:rFonts w:ascii="Times New Roman" w:hAnsi="Times New Roman" w:cs="Times New Roman"/>
        </w:rPr>
        <w:t>. To test for the effect of sex on total eye score, we conducted a Poisson distributed generalized additive mixed model that included a smoothing spline to model non-linear effects over time (</w:t>
      </w:r>
      <w:proofErr w:type="spellStart"/>
      <w:r w:rsidRPr="005D76FB">
        <w:rPr>
          <w:rFonts w:ascii="Times New Roman" w:hAnsi="Times New Roman" w:cs="Times New Roman"/>
          <w:i/>
          <w:iCs/>
        </w:rPr>
        <w:t>mgcv</w:t>
      </w:r>
      <w:proofErr w:type="spellEnd"/>
      <w:r>
        <w:rPr>
          <w:rFonts w:ascii="Times New Roman" w:hAnsi="Times New Roman" w:cs="Times New Roman"/>
        </w:rPr>
        <w:t xml:space="preserve"> package) </w:t>
      </w:r>
      <w:r>
        <w:rPr>
          <w:rFonts w:ascii="Times New Roman" w:hAnsi="Times New Roman" w:cs="Times New Roman"/>
        </w:rPr>
        <w:fldChar w:fldCharType="begin"/>
      </w:r>
      <w:r>
        <w:rPr>
          <w:rFonts w:ascii="Times New Roman" w:hAnsi="Times New Roman" w:cs="Times New Roman"/>
        </w:rPr>
        <w:instrText xml:space="preserve"> ADDIN ZOTERO_ITEM CSL_CITATION {"citationID":"jU6dL1LZ","properties":{"formattedCitation":"(Preston &amp; Sauer, 2020; Wood, 2011)","plainCitation":"(Preston &amp; Sauer, 2020; Wood, 2011)","noteIndex":0},"citationItems":[{"id":13114,"uris":["http://zotero.org/users/6240348/items/I3QZGSYA"],"itemData":{"id":13114,"type":"article-journal","container-title":"Journal of the Royal Statistical Society (B)","issue":"1","page":"3-36","title":"Fast stable restricted maximum likelihood and marginal likelihood estimation of semiparametric generalized linear models","volume":"73","author":[{"family":"Wood","given":"S. N."}],"issued":{"date-parts":[["2011"]]}}},{"id":13115,"uris":["http://zotero.org/users/6240348/items/BVQDX6JL"],"itemData":{"id":13115,"type":"article-journal","container-title":"Ecology","DOI":"10.1002/ecy.3000","ISSN":"0012-9658, 1939-9170","issue":"4","journalAbbreviation":"Ecology","language":"en","source":"DOI.org (Crossref)","title":"Infection pathology and competition mediate host biomass overcompensation from disease","URL":"https://onlinelibrary.wiley.com/doi/10.1002/ecy.3000","volume":"101","author":[{"family":"Preston","given":"Daniel L."},{"family":"Sauer","given":"Erin L."}],"accessed":{"date-parts":[["2022",4,15]]},"issued":{"date-parts":[["2020",4]]}}}],"schema":"https://github.com/citation-style-language/schema/raw/master/csl-citation.json"}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(Preston &amp; Sauer, 2020; Wood, 2011)</w:t>
      </w:r>
      <w:r>
        <w:rPr>
          <w:rFonts w:ascii="Times New Roman" w:hAnsi="Times New Roman" w:cs="Times New Roman"/>
        </w:rPr>
        <w:fldChar w:fldCharType="end"/>
      </w:r>
      <w:r>
        <w:rPr>
          <w:rFonts w:ascii="Times New Roman" w:hAnsi="Times New Roman" w:cs="Times New Roman"/>
        </w:rPr>
        <w:t>. To test for the effect of sex and MG exposure on body fat, mass (g), log</w:t>
      </w:r>
      <w:r>
        <w:rPr>
          <w:rFonts w:ascii="Times New Roman" w:hAnsi="Times New Roman" w:cs="Times New Roman"/>
          <w:vertAlign w:val="subscript"/>
        </w:rPr>
        <w:t>10</w:t>
      </w:r>
      <w:r>
        <w:rPr>
          <w:rFonts w:ascii="Times New Roman" w:hAnsi="Times New Roman" w:cs="Times New Roman"/>
        </w:rPr>
        <w:t>-transformed pathogen load, and hematocrit (%) over time we conducted linear mixed-effects models followed by ANOVAs that included main and interactive effects of sex, MG exposure, and days since exposure (</w:t>
      </w:r>
      <w:r w:rsidRPr="00577372">
        <w:rPr>
          <w:rFonts w:ascii="Times New Roman" w:hAnsi="Times New Roman" w:cs="Times New Roman"/>
          <w:i/>
          <w:iCs/>
        </w:rPr>
        <w:t>lme4</w:t>
      </w:r>
      <w:r>
        <w:rPr>
          <w:rFonts w:ascii="Times New Roman" w:hAnsi="Times New Roman" w:cs="Times New Roman"/>
        </w:rPr>
        <w:t xml:space="preserve"> &amp; </w:t>
      </w:r>
      <w:r w:rsidRPr="00932D3B">
        <w:rPr>
          <w:rFonts w:ascii="Times New Roman" w:hAnsi="Times New Roman" w:cs="Times New Roman"/>
          <w:i/>
          <w:iCs/>
        </w:rPr>
        <w:t>car</w:t>
      </w:r>
      <w:r>
        <w:rPr>
          <w:rFonts w:ascii="Times New Roman" w:hAnsi="Times New Roman" w:cs="Times New Roman"/>
        </w:rPr>
        <w:t xml:space="preserve"> packages) </w:t>
      </w:r>
      <w:r>
        <w:rPr>
          <w:rFonts w:ascii="Times New Roman" w:hAnsi="Times New Roman" w:cs="Times New Roman"/>
        </w:rPr>
        <w:fldChar w:fldCharType="begin"/>
      </w:r>
      <w:r>
        <w:rPr>
          <w:rFonts w:ascii="Times New Roman" w:hAnsi="Times New Roman" w:cs="Times New Roman"/>
        </w:rPr>
        <w:instrText xml:space="preserve"> ADDIN ZOTERO_ITEM CSL_CITATION {"citationID":"ftGqt5Pi","properties":{"formattedCitation":"(Bates et al., 2014)","plainCitation":"(Bates et al., 2014)","noteIndex":0},"citationItems":[{"id":1214,"uris":["http://zotero.org/users/6240348/items/IQ97AQ43"],"itemData":{"id":1214,"type":"article-journal","title":"lme4: Linear mixed-effects models using Eigen and S4, R package version 1.1-6","URL":"http://CRAN.R-project.org/package=lme4","author":[{"family":"Bates","given":"Douglas"},{"family":"Maechler","given":"Martin"},{"family":"Bolker","given":"Ben"},{"family":"Walker","given":"Steven"}],"issued":{"date-parts":[["2014"]]}}}],"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 xml:space="preserve">(Bates </w:t>
      </w:r>
      <w:r>
        <w:rPr>
          <w:rFonts w:ascii="Times New Roman" w:hAnsi="Times New Roman" w:cs="Times New Roman"/>
        </w:rPr>
        <w:lastRenderedPageBreak/>
        <w:t>et al., 2014)</w:t>
      </w:r>
      <w:r>
        <w:rPr>
          <w:rFonts w:ascii="Times New Roman" w:hAnsi="Times New Roman" w:cs="Times New Roman"/>
        </w:rPr>
        <w:fldChar w:fldCharType="end"/>
      </w:r>
      <w:r>
        <w:rPr>
          <w:rFonts w:ascii="Times New Roman" w:hAnsi="Times New Roman" w:cs="Times New Roman"/>
        </w:rPr>
        <w:t>. To test for the effect of sex and MG exposure on change in leukocyte relative abundance from pre-exposure to one week post exposure, we conducted a MANOVA that included main and interactive effects of sex and MG exposure (</w:t>
      </w:r>
      <w:r>
        <w:rPr>
          <w:rFonts w:ascii="Times New Roman" w:hAnsi="Times New Roman" w:cs="Times New Roman"/>
          <w:i/>
          <w:iCs/>
        </w:rPr>
        <w:t>stats</w:t>
      </w:r>
      <w:r>
        <w:rPr>
          <w:rFonts w:ascii="Times New Roman" w:hAnsi="Times New Roman" w:cs="Times New Roman"/>
        </w:rPr>
        <w:t xml:space="preserve"> package). We conducted an additional MANOVA to test for differences in leukocyte relative abundance between males and females prior to exposure. All repeated measures models included individual as a random intercept. Eye score, log</w:t>
      </w:r>
      <w:r>
        <w:rPr>
          <w:rFonts w:ascii="Times New Roman" w:hAnsi="Times New Roman" w:cs="Times New Roman"/>
          <w:vertAlign w:val="subscript"/>
        </w:rPr>
        <w:t>10</w:t>
      </w:r>
      <w:r>
        <w:rPr>
          <w:rFonts w:ascii="Times New Roman" w:hAnsi="Times New Roman" w:cs="Times New Roman"/>
        </w:rPr>
        <w:t xml:space="preserve">-transformed pathogen load, and antibody models were restricted to only MG-exposed individuals as no control birds ever developed symptoms or tested positive for MG or MG-specific antibodies. All other models included main and interactive effects of MG exposure, sex, and days since exposure. </w:t>
      </w:r>
      <w:r w:rsidRPr="00D57976">
        <w:rPr>
          <w:rFonts w:ascii="Times New Roman" w:hAnsi="Times New Roman" w:cs="Times New Roman"/>
        </w:rPr>
        <w:t>Model prediction plots were made using the predict function and the original conditions of the datasets.</w:t>
      </w:r>
    </w:p>
    <w:p w14:paraId="37D06970" w14:textId="56BD4FED" w:rsidR="00FE2A33" w:rsidRDefault="00FE2A33" w:rsidP="00FE2A33">
      <w:pPr>
        <w:spacing w:line="480" w:lineRule="auto"/>
        <w:rPr>
          <w:rFonts w:ascii="Times New Roman" w:hAnsi="Times New Roman" w:cs="Times New Roman"/>
        </w:rPr>
      </w:pPr>
      <w:r w:rsidRPr="0036485F">
        <w:rPr>
          <w:rFonts w:ascii="Times New Roman" w:hAnsi="Times New Roman" w:cs="Times New Roman"/>
          <w:i/>
          <w:iCs/>
        </w:rPr>
        <w:t>SEIR model</w:t>
      </w:r>
      <w:r>
        <w:rPr>
          <w:rFonts w:ascii="Times New Roman" w:hAnsi="Times New Roman" w:cs="Times New Roman"/>
        </w:rPr>
        <w:t xml:space="preserve"> – All simulations were conducted with R version 4.1.0 in R Studio using the </w:t>
      </w:r>
      <w:proofErr w:type="spellStart"/>
      <w:r w:rsidRPr="001571A7">
        <w:rPr>
          <w:rFonts w:ascii="Times New Roman" w:hAnsi="Times New Roman" w:cs="Times New Roman"/>
          <w:i/>
          <w:iCs/>
        </w:rPr>
        <w:t>deSolve</w:t>
      </w:r>
      <w:proofErr w:type="spellEnd"/>
      <w:r>
        <w:rPr>
          <w:rFonts w:ascii="Times New Roman" w:hAnsi="Times New Roman" w:cs="Times New Roman"/>
        </w:rPr>
        <w:t xml:space="preserve"> package </w:t>
      </w:r>
      <w:r>
        <w:rPr>
          <w:rFonts w:ascii="Times New Roman" w:hAnsi="Times New Roman" w:cs="Times New Roman"/>
        </w:rPr>
        <w:fldChar w:fldCharType="begin"/>
      </w:r>
      <w:r>
        <w:rPr>
          <w:rFonts w:ascii="Times New Roman" w:hAnsi="Times New Roman" w:cs="Times New Roman"/>
        </w:rPr>
        <w:instrText xml:space="preserve"> ADDIN ZOTERO_ITEM CSL_CITATION {"citationID":"DuaAldjY","properties":{"formattedCitation":"(RStudio Team, 2021; Soetaert et al., 2010)","plainCitation":"(RStudio Team, 2021; Soetaert et al., 2010)","noteIndex":0},"citationItems":[{"id":13121,"uris":["http://zotero.org/users/6240348/items/KK7MM47C"],"itemData":{"id":13121,"type":"article-journal","container-title":"Journal of Statistical Software","issue":"9","page":"1–25","title":"Package deSolve: solving initial value differential equations in R","volume":"33","author":[{"family":"Soetaert","given":"Karline"},{"family":"Petzoldt","given":"Thomas"},{"family":"Setzer","given":"R Woodrow"}],"issued":{"date-parts":[["2010"]]}}},{"id":13023,"uris":["http://zotero.org/users/6240348/items/TJ55QDKL"],"itemData":{"id":13023,"type":"book","event-place":"Boston, MA","publisher":"RStudio, PBC","publisher-place":"Boston, MA","title":"RStudio: Integrated Development Environment for R","URL":"http://www.rstudio.com/","author":[{"literal":"RStudio Team"}],"issued":{"date-parts":[["2021"]]}}}],"schema":"https://github.com/citation-style-language/schema/raw/master/csl-citation.json"}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(RStudio Team, 2021; Soetaert et al., 2010)</w:t>
      </w:r>
      <w:r>
        <w:rPr>
          <w:rFonts w:ascii="Times New Roman" w:hAnsi="Times New Roman" w:cs="Times New Roman"/>
        </w:rPr>
        <w:fldChar w:fldCharType="end"/>
      </w:r>
      <w:r>
        <w:rPr>
          <w:rFonts w:ascii="Times New Roman" w:hAnsi="Times New Roman" w:cs="Times New Roman"/>
        </w:rPr>
        <w:t xml:space="preserve">. We created a mathematical model to determine the sex-dependent transmission dynamics of MG. The model subdivides the total population, </w:t>
      </w:r>
      <w:r w:rsidRPr="00E71304">
        <w:rPr>
          <w:rFonts w:ascii="Times New Roman" w:hAnsi="Times New Roman" w:cs="Times New Roman"/>
          <w:i/>
          <w:iCs/>
        </w:rPr>
        <w:t>N(t)</w:t>
      </w:r>
      <w:r>
        <w:rPr>
          <w:rFonts w:ascii="Times New Roman" w:hAnsi="Times New Roman" w:cs="Times New Roman"/>
        </w:rPr>
        <w:t xml:space="preserve">, through time </w:t>
      </w:r>
      <w:r w:rsidRPr="00CD6319">
        <w:rPr>
          <w:rFonts w:ascii="Times New Roman" w:hAnsi="Times New Roman" w:cs="Times New Roman"/>
          <w:i/>
          <w:iCs/>
        </w:rPr>
        <w:t>t</w:t>
      </w:r>
      <w:r>
        <w:rPr>
          <w:rFonts w:ascii="Times New Roman" w:hAnsi="Times New Roman" w:cs="Times New Roman"/>
        </w:rPr>
        <w:t xml:space="preserve"> by sex </w:t>
      </w:r>
      <w:proofErr w:type="spellStart"/>
      <w:r w:rsidRPr="00E71304">
        <w:rPr>
          <w:rFonts w:ascii="Times New Roman" w:hAnsi="Times New Roman" w:cs="Times New Roman"/>
          <w:i/>
          <w:iCs/>
        </w:rPr>
        <w:t>i</w:t>
      </w:r>
      <w:proofErr w:type="spellEnd"/>
      <w:r>
        <w:rPr>
          <w:rFonts w:ascii="Times New Roman" w:hAnsi="Times New Roman" w:cs="Times New Roman"/>
        </w:rPr>
        <w:t xml:space="preserve"> and into susceptible, </w:t>
      </w:r>
      <w:r w:rsidRPr="00E71304">
        <w:rPr>
          <w:rFonts w:ascii="Times New Roman" w:hAnsi="Times New Roman" w:cs="Times New Roman"/>
          <w:i/>
          <w:iCs/>
        </w:rPr>
        <w:t>S</w:t>
      </w:r>
      <w:r w:rsidRPr="00E71304">
        <w:rPr>
          <w:rFonts w:ascii="Times New Roman" w:hAnsi="Times New Roman" w:cs="Times New Roman"/>
          <w:i/>
          <w:iCs/>
          <w:vertAlign w:val="subscript"/>
        </w:rPr>
        <w:t>i</w:t>
      </w:r>
      <w:r w:rsidRPr="00E71304">
        <w:rPr>
          <w:rFonts w:ascii="Times New Roman" w:hAnsi="Times New Roman" w:cs="Times New Roman"/>
          <w:i/>
          <w:iCs/>
        </w:rPr>
        <w:t>(t)</w:t>
      </w:r>
      <w:r>
        <w:rPr>
          <w:rFonts w:ascii="Times New Roman" w:hAnsi="Times New Roman" w:cs="Times New Roman"/>
        </w:rPr>
        <w:t xml:space="preserve">, exposed, </w:t>
      </w:r>
      <w:proofErr w:type="spellStart"/>
      <w:r w:rsidRPr="00E71304">
        <w:rPr>
          <w:rFonts w:ascii="Times New Roman" w:hAnsi="Times New Roman" w:cs="Times New Roman"/>
          <w:i/>
          <w:iCs/>
        </w:rPr>
        <w:t>E</w:t>
      </w:r>
      <w:r w:rsidRPr="00E71304">
        <w:rPr>
          <w:rFonts w:ascii="Times New Roman" w:hAnsi="Times New Roman" w:cs="Times New Roman"/>
          <w:i/>
          <w:iCs/>
          <w:vertAlign w:val="subscript"/>
        </w:rPr>
        <w:t>i</w:t>
      </w:r>
      <w:proofErr w:type="spellEnd"/>
      <w:r w:rsidRPr="00E71304">
        <w:rPr>
          <w:rFonts w:ascii="Times New Roman" w:hAnsi="Times New Roman" w:cs="Times New Roman"/>
          <w:i/>
          <w:iCs/>
        </w:rPr>
        <w:t>(t)</w:t>
      </w:r>
      <w:r>
        <w:rPr>
          <w:rFonts w:ascii="Times New Roman" w:hAnsi="Times New Roman" w:cs="Times New Roman"/>
        </w:rPr>
        <w:t xml:space="preserve">, infected, </w:t>
      </w:r>
      <w:proofErr w:type="spellStart"/>
      <w:r w:rsidRPr="00E71304">
        <w:rPr>
          <w:rFonts w:ascii="Times New Roman" w:hAnsi="Times New Roman" w:cs="Times New Roman"/>
          <w:i/>
          <w:iCs/>
        </w:rPr>
        <w:t>I</w:t>
      </w:r>
      <w:r w:rsidRPr="00E71304">
        <w:rPr>
          <w:rFonts w:ascii="Times New Roman" w:hAnsi="Times New Roman" w:cs="Times New Roman"/>
          <w:i/>
          <w:iCs/>
          <w:vertAlign w:val="subscript"/>
        </w:rPr>
        <w:t>i</w:t>
      </w:r>
      <w:proofErr w:type="spellEnd"/>
      <w:r w:rsidRPr="00E71304">
        <w:rPr>
          <w:rFonts w:ascii="Times New Roman" w:hAnsi="Times New Roman" w:cs="Times New Roman"/>
          <w:i/>
          <w:iCs/>
        </w:rPr>
        <w:t>(t)</w:t>
      </w:r>
      <w:r>
        <w:rPr>
          <w:rFonts w:ascii="Times New Roman" w:hAnsi="Times New Roman" w:cs="Times New Roman"/>
        </w:rPr>
        <w:t xml:space="preserve">, recovered, </w:t>
      </w:r>
      <w:r w:rsidRPr="00E71304">
        <w:rPr>
          <w:rFonts w:ascii="Times New Roman" w:hAnsi="Times New Roman" w:cs="Times New Roman"/>
          <w:i/>
          <w:iCs/>
        </w:rPr>
        <w:t>R</w:t>
      </w:r>
      <w:r w:rsidRPr="00E71304">
        <w:rPr>
          <w:rFonts w:ascii="Times New Roman" w:hAnsi="Times New Roman" w:cs="Times New Roman"/>
          <w:i/>
          <w:iCs/>
          <w:vertAlign w:val="subscript"/>
        </w:rPr>
        <w:t>i</w:t>
      </w:r>
      <w:r w:rsidRPr="00E71304">
        <w:rPr>
          <w:rFonts w:ascii="Times New Roman" w:hAnsi="Times New Roman" w:cs="Times New Roman"/>
          <w:i/>
          <w:iCs/>
        </w:rPr>
        <w:t>(t)</w:t>
      </w:r>
      <w:r>
        <w:rPr>
          <w:rFonts w:ascii="Times New Roman" w:hAnsi="Times New Roman" w:cs="Times New Roman"/>
        </w:rPr>
        <w:t xml:space="preserve">, and mortality, </w:t>
      </w:r>
      <w:r w:rsidRPr="00E71304">
        <w:rPr>
          <w:rFonts w:ascii="Times New Roman" w:hAnsi="Times New Roman" w:cs="Times New Roman"/>
          <w:i/>
          <w:iCs/>
        </w:rPr>
        <w:t>M</w:t>
      </w:r>
      <w:r w:rsidRPr="00E71304">
        <w:rPr>
          <w:rFonts w:ascii="Times New Roman" w:hAnsi="Times New Roman" w:cs="Times New Roman"/>
          <w:i/>
          <w:iCs/>
          <w:vertAlign w:val="subscript"/>
        </w:rPr>
        <w:t>i</w:t>
      </w:r>
      <w:r w:rsidRPr="00E71304">
        <w:rPr>
          <w:rFonts w:ascii="Times New Roman" w:hAnsi="Times New Roman" w:cs="Times New Roman"/>
          <w:i/>
          <w:iCs/>
        </w:rPr>
        <w:t>(t)</w:t>
      </w:r>
      <w:r w:rsidRPr="00D57976">
        <w:rPr>
          <w:rFonts w:ascii="Times New Roman" w:hAnsi="Times New Roman" w:cs="Times New Roman"/>
        </w:rPr>
        <w:t>, states</w:t>
      </w:r>
      <w:r>
        <w:rPr>
          <w:rFonts w:ascii="Times New Roman" w:hAnsi="Times New Roman" w:cs="Times New Roman"/>
          <w:i/>
          <w:iCs/>
        </w:rPr>
        <w:t xml:space="preserve"> </w:t>
      </w:r>
      <w:r>
        <w:rPr>
          <w:rFonts w:ascii="Times New Roman" w:hAnsi="Times New Roman" w:cs="Times New Roman"/>
        </w:rPr>
        <w:t xml:space="preserve">(Figure 1) </w:t>
      </w:r>
      <w:r>
        <w:rPr>
          <w:rFonts w:ascii="Times New Roman" w:hAnsi="Times New Roman" w:cs="Times New Roman"/>
        </w:rPr>
        <w:fldChar w:fldCharType="begin"/>
      </w:r>
      <w:r>
        <w:rPr>
          <w:rFonts w:ascii="Times New Roman" w:hAnsi="Times New Roman" w:cs="Times New Roman"/>
        </w:rPr>
        <w:instrText xml:space="preserve"> ADDIN ZOTERO_ITEM CSL_CITATION {"citationID":"4MwXHSKH","properties":{"formattedCitation":"(Li &amp; Muldowney, 1995)","plainCitation":"(Li &amp; Muldowney, 1995)","noteIndex":0},"citationItems":[{"id":13122,"uris":["http://zotero.org/users/6240348/items/PM5WZZBD"],"itemData":{"id":13122,"type":"article-journal","container-title":"Mathematical biosciences","issue":"2","note":"publisher: Elsevier","page":"155–164","title":"Global stability for the SEIR model in epidemiology","volume":"125","author":[{"family":"Li","given":"Michael Y"},{"family":"Muldowney","given":"James S"}],"issued":{"date-parts":[["1995"]]}}}],"schema":"https://github.com/citation-style-language/schema/raw/master/csl-citation.json"}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(Li &amp; Muldowney, 1995)</w:t>
      </w:r>
      <w:r>
        <w:rPr>
          <w:rFonts w:ascii="Times New Roman" w:hAnsi="Times New Roman" w:cs="Times New Roman"/>
        </w:rPr>
        <w:fldChar w:fldCharType="end"/>
      </w:r>
      <w:r>
        <w:rPr>
          <w:rFonts w:ascii="Times New Roman" w:hAnsi="Times New Roman" w:cs="Times New Roman"/>
        </w:rPr>
        <w:t xml:space="preserve">. We ran 5 simulations of our model, varying the initial proportion of susceptible individuals that were male from 0-100% in 25% increments. Starting conditions were </w:t>
      </w:r>
      <w:r w:rsidRPr="007130FA">
        <w:rPr>
          <w:rFonts w:ascii="Times New Roman" w:hAnsi="Times New Roman" w:cs="Times New Roman"/>
          <w:i/>
          <w:iCs/>
        </w:rPr>
        <w:t>S</w:t>
      </w:r>
      <w:r>
        <w:rPr>
          <w:rFonts w:ascii="Times New Roman" w:hAnsi="Times New Roman" w:cs="Times New Roman"/>
        </w:rPr>
        <w:t xml:space="preserve">=99, </w:t>
      </w:r>
      <w:r w:rsidRPr="007130FA">
        <w:rPr>
          <w:rFonts w:ascii="Times New Roman" w:hAnsi="Times New Roman" w:cs="Times New Roman"/>
          <w:i/>
          <w:iCs/>
        </w:rPr>
        <w:t>E</w:t>
      </w:r>
      <w:r>
        <w:rPr>
          <w:rFonts w:ascii="Times New Roman" w:hAnsi="Times New Roman" w:cs="Times New Roman"/>
        </w:rPr>
        <w:t xml:space="preserve">=0, </w:t>
      </w:r>
      <w:r w:rsidRPr="007130FA">
        <w:rPr>
          <w:rFonts w:ascii="Times New Roman" w:hAnsi="Times New Roman" w:cs="Times New Roman"/>
          <w:i/>
          <w:iCs/>
        </w:rPr>
        <w:t>I</w:t>
      </w:r>
      <w:r>
        <w:rPr>
          <w:rFonts w:ascii="Times New Roman" w:hAnsi="Times New Roman" w:cs="Times New Roman"/>
        </w:rPr>
        <w:t xml:space="preserve">=1, </w:t>
      </w:r>
      <w:r w:rsidRPr="007130FA">
        <w:rPr>
          <w:rFonts w:ascii="Times New Roman" w:hAnsi="Times New Roman" w:cs="Times New Roman"/>
          <w:i/>
          <w:iCs/>
        </w:rPr>
        <w:t>R</w:t>
      </w:r>
      <w:r>
        <w:rPr>
          <w:rFonts w:ascii="Times New Roman" w:hAnsi="Times New Roman" w:cs="Times New Roman"/>
        </w:rPr>
        <w:t xml:space="preserve">=0, </w:t>
      </w:r>
      <w:r w:rsidRPr="007130FA">
        <w:rPr>
          <w:rFonts w:ascii="Times New Roman" w:hAnsi="Times New Roman" w:cs="Times New Roman"/>
          <w:i/>
          <w:iCs/>
        </w:rPr>
        <w:t>M</w:t>
      </w:r>
      <w:r>
        <w:rPr>
          <w:rFonts w:ascii="Times New Roman" w:hAnsi="Times New Roman" w:cs="Times New Roman"/>
        </w:rPr>
        <w:t>=0. In all models with male individuals, the single infected bird in the starting conditions was male.</w:t>
      </w:r>
      <w:r w:rsidR="00AE5E4B">
        <w:rPr>
          <w:rFonts w:ascii="Times New Roman" w:hAnsi="Times New Roman" w:cs="Times New Roman"/>
        </w:rPr>
        <w:t xml:space="preserve"> We ran additional simulations where the index bird was female, and the results were nearly identical. </w:t>
      </w:r>
      <w:r>
        <w:rPr>
          <w:rFonts w:ascii="Times New Roman" w:hAnsi="Times New Roman" w:cs="Times New Roman"/>
        </w:rPr>
        <w:t xml:space="preserve"> Our model assumes </w:t>
      </w:r>
      <w:r w:rsidR="000A0329">
        <w:rPr>
          <w:rFonts w:ascii="Times New Roman" w:hAnsi="Times New Roman" w:cs="Times New Roman"/>
        </w:rPr>
        <w:t xml:space="preserve">density-dependent transmission with </w:t>
      </w:r>
      <w:r>
        <w:rPr>
          <w:rFonts w:ascii="Times New Roman" w:hAnsi="Times New Roman" w:cs="Times New Roman"/>
        </w:rPr>
        <w:t>homogenous mixing of adult individuals, no birth or immigration, and that individuals who recover are no longer susceptible</w:t>
      </w:r>
      <w:r w:rsidR="000A0329">
        <w:rPr>
          <w:rFonts w:ascii="Times New Roman" w:hAnsi="Times New Roman" w:cs="Times New Roman"/>
        </w:rPr>
        <w:t xml:space="preserve"> (see Supplemental Methods and Results for simulations based on frequency-dependent transmission). </w:t>
      </w:r>
      <w:r>
        <w:rPr>
          <w:rFonts w:ascii="Times New Roman" w:hAnsi="Times New Roman" w:cs="Times New Roman"/>
        </w:rPr>
        <w:t xml:space="preserve">We intentionally excluded seasonal breeding dynamics from the model as </w:t>
      </w:r>
      <w:r>
        <w:rPr>
          <w:rFonts w:ascii="Times New Roman" w:hAnsi="Times New Roman" w:cs="Times New Roman"/>
        </w:rPr>
        <w:lastRenderedPageBreak/>
        <w:t xml:space="preserve">parameters were measured from non-breeding birds and birth rates lack meaning in simulations with drastic sex ratio manipulations. Further, epidemics are largest during non-breeding making non-breeding individuals the most appropriate to model </w:t>
      </w:r>
      <w:r>
        <w:rPr>
          <w:rFonts w:ascii="Times New Roman" w:hAnsi="Times New Roman" w:cs="Times New Roman"/>
        </w:rPr>
        <w:fldChar w:fldCharType="begin"/>
      </w:r>
      <w:r>
        <w:rPr>
          <w:rFonts w:ascii="Times New Roman" w:hAnsi="Times New Roman" w:cs="Times New Roman"/>
        </w:rPr>
        <w:instrText xml:space="preserve"> ADDIN ZOTERO_ITEM CSL_CITATION {"citationID":"6QgJoI7u","properties":{"formattedCitation":"(Hosseini et al., 2004)","plainCitation":"(Hosseini et al., 2004)","noteIndex":0},"citationItems":[{"id":11988,"uris":["http://zotero.org/users/6240348/items/ZEGJAXFT"],"itemData":{"id":11988,"type":"article-journal","container-title":"Proceedings of the Royal Society of London. Series B: Biological Sciences","DOI":"10.1098/rspb.2004.2938","ISSN":"0962-8452, 1471-2954","issue":"1557","journalAbbreviation":"Proc. R. Soc. Lond. B","language":"en","page":"2569-2577","source":"DOI.org (Crossref)","title":"Seasonality and wildlife disease: how seasonal birth, aggregation and variation in immunity affect the dynamics of &lt;i&gt;Mycoplasma gallisepticum&lt;/i&gt; in house finches","title-short":"Seasonality and wildlife disease","volume":"271","author":[{"family":"Hosseini","given":"Parviez R."},{"family":"Dhondt","given":"André A."},{"family":"Dobson","given":"Andy"}],"issued":{"date-parts":[["2004",12,22]]}}}],"schema":"https://github.com/citation-style-language/schema/raw/master/csl-citation.json"}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(Hosseini et al., 2004)</w:t>
      </w:r>
      <w:r>
        <w:rPr>
          <w:rFonts w:ascii="Times New Roman" w:hAnsi="Times New Roman" w:cs="Times New Roman"/>
        </w:rPr>
        <w:fldChar w:fldCharType="end"/>
      </w:r>
      <w:r>
        <w:rPr>
          <w:rFonts w:ascii="Times New Roman" w:hAnsi="Times New Roman" w:cs="Times New Roman"/>
        </w:rPr>
        <w:t xml:space="preserve">. Transmission dynamics are given by the system of differential equations: </w:t>
      </w:r>
    </w:p>
    <w:p w14:paraId="5169C80D" w14:textId="1B73D713" w:rsidR="00FE2A33" w:rsidRPr="00702D7B" w:rsidRDefault="00000000" w:rsidP="00FE2A33">
      <w:pPr>
        <w:spacing w:line="480" w:lineRule="auto"/>
        <w:rPr>
          <w:rFonts w:ascii="Times New Roman" w:eastAsiaTheme="minorEastAsia" w:hAnsi="Times New Roman" w:cs="Times New Roman"/>
        </w:rPr>
      </w:pPr>
      <m:oMathPara>
        <m:oMathParaPr>
          <m:jc m:val="center"/>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dt</m:t>
              </m:r>
            </m:den>
          </m:f>
          <m:r>
            <w:rPr>
              <w:rFonts w:ascii="Cambria Math" w:hAnsi="Cambria Math" w:cs="Times New Roman"/>
            </w:rPr>
            <m:t>=-</m:t>
          </m:r>
          <m:f>
            <m:fPr>
              <m:ctrlPr>
                <w:rPr>
                  <w:rFonts w:ascii="Cambria Math" w:hAnsi="Cambria Math" w:cs="Times New Roman"/>
                  <w:i/>
                </w:rPr>
              </m:ctrlPr>
            </m:fPr>
            <m:num>
              <m:nary>
                <m:naryPr>
                  <m:chr m:val="∑"/>
                  <m:limLoc m:val="subSup"/>
                  <m:supHide m:val="1"/>
                  <m:ctrlPr>
                    <w:rPr>
                      <w:rFonts w:ascii="Cambria Math" w:hAnsi="Cambria Math" w:cs="Times New Roman"/>
                      <w:i/>
                    </w:rPr>
                  </m:ctrlPr>
                </m:naryPr>
                <m:sub>
                  <m:r>
                    <w:rPr>
                      <w:rFonts w:ascii="Cambria Math" w:hAnsi="Cambria Math" w:cs="Times New Roman"/>
                    </w:rPr>
                    <m:t>j</m:t>
                  </m:r>
                </m:sub>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e>
              </m:nary>
            </m:num>
            <m:den>
              <m:r>
                <w:rPr>
                  <w:rFonts w:ascii="Cambria Math" w:hAnsi="Cambria Math" w:cs="Times New Roman"/>
                </w:rPr>
                <m:t>N</m:t>
              </m:r>
            </m:den>
          </m:f>
        </m:oMath>
      </m:oMathPara>
    </w:p>
    <w:p w14:paraId="622C76CF" w14:textId="4FA8A977" w:rsidR="00FE2A33" w:rsidRPr="00702D7B" w:rsidRDefault="00000000" w:rsidP="00FE2A33">
      <w:pPr>
        <w:spacing w:line="480" w:lineRule="auto"/>
        <w:rPr>
          <w:rFonts w:ascii="Times New Roman" w:eastAsiaTheme="minorEastAsia" w:hAnsi="Times New Roman" w:cs="Times New Roman"/>
        </w:rPr>
      </w:pPr>
      <m:oMathPara>
        <m:oMathParaPr>
          <m:jc m:val="center"/>
        </m:oMathParaPr>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m:t>
                  </m:r>
                </m:sub>
              </m:sSub>
            </m:num>
            <m:den>
              <m:r>
                <w:rPr>
                  <w:rFonts w:ascii="Cambria Math" w:eastAsiaTheme="minorEastAsia" w:hAnsi="Cambria Math" w:cs="Times New Roman"/>
                </w:rPr>
                <m:t>dt</m:t>
              </m:r>
            </m:den>
          </m:f>
          <m:r>
            <w:rPr>
              <w:rFonts w:ascii="Cambria Math" w:eastAsiaTheme="minorEastAsia" w:hAnsi="Cambria Math" w:cs="Times New Roman"/>
            </w:rPr>
            <m:t>=</m:t>
          </m:r>
          <m:f>
            <m:fPr>
              <m:ctrlPr>
                <w:rPr>
                  <w:rFonts w:ascii="Cambria Math" w:eastAsiaTheme="minorEastAsia" w:hAnsi="Cambria Math" w:cs="Times New Roman"/>
                  <w:i/>
                </w:rPr>
              </m:ctrlPr>
            </m:fPr>
            <m:num>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j</m:t>
                  </m:r>
                </m:sub>
                <m:sup/>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ij</m:t>
                      </m:r>
                    </m:sub>
                  </m:sSub>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m:t>
                      </m:r>
                    </m:sub>
                  </m:sSub>
                </m:e>
              </m:nary>
            </m:num>
            <m:den>
              <m:r>
                <w:rPr>
                  <w:rFonts w:ascii="Cambria Math" w:eastAsiaTheme="minorEastAsia" w:hAnsi="Cambria Math" w:cs="Times New Roman"/>
                </w:rPr>
                <m:t>N</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m:t>
              </m:r>
            </m:sub>
          </m:sSub>
        </m:oMath>
      </m:oMathPara>
    </w:p>
    <w:p w14:paraId="5ED6C61A" w14:textId="77777777" w:rsidR="00FE2A33" w:rsidRPr="00702D7B" w:rsidRDefault="00000000" w:rsidP="00FE2A33">
      <w:pPr>
        <w:spacing w:line="480" w:lineRule="auto"/>
        <w:rPr>
          <w:rFonts w:ascii="Times New Roman" w:eastAsiaTheme="minorEastAsia" w:hAnsi="Times New Roman" w:cs="Times New Roman"/>
        </w:rPr>
      </w:pPr>
      <m:oMathPara>
        <m:oMathParaPr>
          <m:jc m:val="center"/>
        </m:oMathParaPr>
        <m:oMath>
          <m:f>
            <m:fPr>
              <m:ctrlPr>
                <w:rPr>
                  <w:rFonts w:ascii="Cambria Math" w:eastAsiaTheme="minorEastAsia" w:hAnsi="Cambria Math" w:cs="Times New Roman"/>
                  <w:i/>
                </w:rPr>
              </m:ctrlPr>
            </m:fPr>
            <m:num>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i</m:t>
                  </m:r>
                </m:sub>
              </m:sSub>
            </m:num>
            <m:den>
              <m:r>
                <w:rPr>
                  <w:rFonts w:ascii="Cambria Math" w:eastAsiaTheme="minorEastAsia" w:hAnsi="Cambria Math" w:cs="Times New Roman"/>
                </w:rPr>
                <m:t>dt</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i</m:t>
              </m:r>
            </m:sub>
          </m:sSub>
        </m:oMath>
      </m:oMathPara>
    </w:p>
    <w:p w14:paraId="707ACAA7" w14:textId="77777777" w:rsidR="00FE2A33" w:rsidRPr="00702D7B" w:rsidRDefault="00000000" w:rsidP="00FE2A33">
      <w:pPr>
        <w:spacing w:line="480" w:lineRule="auto"/>
        <w:ind w:firstLine="720"/>
        <w:rPr>
          <w:rFonts w:ascii="Times New Roman" w:eastAsiaTheme="minorEastAsia" w:hAnsi="Times New Roman" w:cs="Times New Roman"/>
        </w:rPr>
      </w:pPr>
      <m:oMathPara>
        <m:oMathParaPr>
          <m:jc m:val="center"/>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m:oMathPara>
    </w:p>
    <w:p w14:paraId="31BD687F" w14:textId="77777777" w:rsidR="00FE2A33" w:rsidRPr="00702D7B" w:rsidRDefault="00000000" w:rsidP="00FE2A33">
      <w:pPr>
        <w:spacing w:line="480" w:lineRule="auto"/>
        <w:ind w:firstLine="720"/>
        <w:rPr>
          <w:rFonts w:ascii="Times New Roman" w:hAnsi="Times New Roman" w:cs="Times New Roman"/>
        </w:rPr>
      </w:pPr>
      <m:oMathPara>
        <m:oMathParaPr>
          <m:jc m:val="center"/>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m:oMathPara>
    </w:p>
    <w:p w14:paraId="4A5EA57B" w14:textId="7E66F77F" w:rsidR="00FE2A33" w:rsidRDefault="00FE2A33" w:rsidP="00FE2A33">
      <w:pPr>
        <w:spacing w:line="480" w:lineRule="auto"/>
        <w:rPr>
          <w:rFonts w:ascii="Times New Roman" w:hAnsi="Times New Roman" w:cs="Times New Roman"/>
        </w:rPr>
      </w:pPr>
      <w:r w:rsidRPr="005B276B">
        <w:rPr>
          <w:rFonts w:ascii="Times New Roman" w:hAnsi="Times New Roman" w:cs="Times New Roman"/>
          <w:i/>
          <w:iCs/>
        </w:rPr>
        <w:t>Parameter estimates</w:t>
      </w:r>
      <w:r>
        <w:rPr>
          <w:rFonts w:ascii="Times New Roman" w:hAnsi="Times New Roman" w:cs="Times New Roman"/>
        </w:rPr>
        <w:t xml:space="preserve"> – Transmission rate from infectious sex </w:t>
      </w:r>
      <w:proofErr w:type="spellStart"/>
      <w:r>
        <w:rPr>
          <w:rFonts w:ascii="Times New Roman" w:hAnsi="Times New Roman" w:cs="Times New Roman"/>
          <w:i/>
          <w:iCs/>
        </w:rPr>
        <w:t>i</w:t>
      </w:r>
      <w:proofErr w:type="spellEnd"/>
      <w:r>
        <w:rPr>
          <w:rFonts w:ascii="Times New Roman" w:hAnsi="Times New Roman" w:cs="Times New Roman"/>
        </w:rPr>
        <w:t xml:space="preserve"> to susceptible host type </w:t>
      </w:r>
      <w:r w:rsidRPr="001A20D7">
        <w:rPr>
          <w:rFonts w:ascii="Times New Roman" w:hAnsi="Times New Roman" w:cs="Times New Roman"/>
          <w:i/>
          <w:iCs/>
        </w:rPr>
        <w:t>j</w:t>
      </w:r>
      <w:r>
        <w:rPr>
          <w:rFonts w:ascii="Times New Roman" w:hAnsi="Times New Roman" w:cs="Times New Roman"/>
        </w:rPr>
        <w:t xml:space="preserve"> (</w:t>
      </w:r>
      <w:r w:rsidRPr="005B276B">
        <w:rPr>
          <w:rFonts w:ascii="Times New Roman" w:hAnsi="Times New Roman" w:cs="Times New Roman"/>
          <w:i/>
          <w:iCs/>
        </w:rPr>
        <w:t>β</w:t>
      </w:r>
      <w:proofErr w:type="spellStart"/>
      <w:r w:rsidRPr="005B276B">
        <w:rPr>
          <w:rFonts w:ascii="Times New Roman" w:hAnsi="Times New Roman" w:cs="Times New Roman"/>
          <w:i/>
          <w:iCs/>
          <w:vertAlign w:val="subscript"/>
        </w:rPr>
        <w:t>i</w:t>
      </w:r>
      <w:r>
        <w:rPr>
          <w:rFonts w:ascii="Times New Roman" w:hAnsi="Times New Roman" w:cs="Times New Roman"/>
          <w:i/>
          <w:iCs/>
          <w:vertAlign w:val="subscript"/>
        </w:rPr>
        <w:t>j</w:t>
      </w:r>
      <w:proofErr w:type="spellEnd"/>
      <w:r>
        <w:rPr>
          <w:rFonts w:ascii="Times New Roman" w:hAnsi="Times New Roman" w:cs="Times New Roman"/>
        </w:rPr>
        <w:t xml:space="preserve">) was estimated from two published house finch – </w:t>
      </w:r>
      <w:r w:rsidRPr="008167E2">
        <w:rPr>
          <w:rFonts w:ascii="Times New Roman" w:hAnsi="Times New Roman" w:cs="Times New Roman"/>
        </w:rPr>
        <w:t>M</w:t>
      </w:r>
      <w:r w:rsidRPr="00DA0C7D">
        <w:rPr>
          <w:rFonts w:ascii="Times New Roman" w:hAnsi="Times New Roman" w:cs="Times New Roman"/>
        </w:rPr>
        <w:t>G</w:t>
      </w:r>
      <w:r w:rsidRPr="00DA0C7D">
        <w:rPr>
          <w:rFonts w:ascii="Times New Roman" w:hAnsi="Times New Roman" w:cs="Times New Roman"/>
          <w:i/>
          <w:iCs/>
        </w:rPr>
        <w:t xml:space="preserve"> </w:t>
      </w:r>
      <w:r w:rsidR="000A0329" w:rsidRPr="00332C01">
        <w:rPr>
          <w:rFonts w:ascii="Times New Roman" w:hAnsi="Times New Roman" w:cs="Times New Roman"/>
        </w:rPr>
        <w:t xml:space="preserve">feeder </w:t>
      </w:r>
      <w:r>
        <w:rPr>
          <w:rFonts w:ascii="Times New Roman" w:hAnsi="Times New Roman" w:cs="Times New Roman"/>
        </w:rPr>
        <w:t xml:space="preserve">transmission datasets </w:t>
      </w:r>
      <w:r>
        <w:rPr>
          <w:rFonts w:ascii="Times New Roman" w:hAnsi="Times New Roman" w:cs="Times New Roman"/>
        </w:rPr>
        <w:fldChar w:fldCharType="begin"/>
      </w:r>
      <w:r w:rsidR="00EF4835">
        <w:rPr>
          <w:rFonts w:ascii="Times New Roman" w:hAnsi="Times New Roman" w:cs="Times New Roman"/>
        </w:rPr>
        <w:instrText xml:space="preserve"> ADDIN ZOTERO_ITEM CSL_CITATION {"citationID":"XdftRq3W","properties":{"formattedCitation":"(Adelman et al., 2015; Moyers et al., 2018)","plainCitation":"(Adelman et al., 2015; Moyers et al., 2018)","noteIndex":0},"citationItems":[{"id":11943,"uris":["http://zotero.org/users/6240348/items/7TY2MALJ"],"itemData":{"id":11943,"type":"article-journal","abstract":"Individual heterogeneity can influence the dynamics of infectious diseases in wildlife and humans alike. Thus, recent work has sought to identify behavioural characteristics that contribute disproportionately to individual variation in pathogen acquisition (super-receiving) or transmission (super-spreading). However, it remains unknown whether the same behaviours enhance both acquisition and transmission, a scenario likely to result in explosive epidemics. Here, we examined this possibility in an ecologically relevant host–pathogen system: house finches and their bacterial pathogen,\n              Mycoplasma gallisepticum\n              , which causes severe conjunctivitis. We examined behaviours likely to influence disease acquisition (feeder use, aggression, social network affiliations) in an observational field study, finding that the time an individual spends on bird feeders best predicted the risk of conjunctivitis. To test whether this behaviour also influences the likelihood of transmitting\n              M. gallisepticum\n              , we experimentally inoculated individuals based on feeding behaviour and tracked epidemics within captive flocks. As predicted, transmission was fastest when birds that spent the most time on feeders initiated the epidemic. Our results suggest that the same behaviour underlies both pathogen acquisition and transmission in this system and potentially others. Identifying individuals that exhibit such behaviours is critical for disease management.","container-title":"Proceedings of the Royal Society B: Biological Sciences","DOI":"10.1098/rspb.2015.1429","ISSN":"0962-8452, 1471-2954","issue":"1815","journalAbbreviation":"Proc. R. Soc. B.","language":"en","page":"20151429","source":"DOI.org (Crossref)","title":"Feeder use predicts both acquisition and transmission of a contagious pathogen in a North American songbird","volume":"282","author":[{"family":"Adelman","given":"James S."},{"family":"Moyers","given":"Sahnzi C."},{"family":"Farine","given":"Damien R."},{"family":"Hawley","given":"Dana M."}],"issued":{"date-parts":[["2015",9,22]]}}},{"id":11921,"uris":["http://zotero.org/users/6240348/items/MQBD9XVR"],"itemData":{"id":11921,"type":"article-journal","abstract":"Anthropogenic food provisioning of wildlife can alter the frequency of contacts among hosts and between hosts and environmental sources of pathogens. Despite the popularity of garden bird feeding, few studies have addressed how feeders influence host contact rates and disease dynamics. We experimentally manipulated feeder density in replicate aviaries containing captive, pathogen-naive, groups of house finches (\n              Haemorhous mexicanus\n              ) and continuously tracked behaviours at feeders using radio-frequency identification devices. We then inoculated one bird per group with\n              Mycoplasma gallisepticum\n              (Mg), a common bacterial pathogen for which feeders are fomites of transmission, and assessed effects of feeder density on house finch behaviour and pathogen transmission. We found that pathogen transmission was significantly higher in groups with the highest density of bird feeders, despite a significantly lower rate of intraspecific aggressive interactions relative to the low feeder density groups. Conversely, among naive group members that never showed signs of disease, we saw significantly higher concentrations of Mg-specific antibodies in low feeder density groups, suggesting that birds in low feeder density treatments had exposure to subclinical doses of Mg. We discuss ways in which the density of garden bird feeders could play an important role in mediating the intensity of Mg epidemics.\n            \n            This article is part of the theme issue ‘Anthropogenic resource subsidies and host–parasite dynamics in wildlife'.","container-title":"Philosophical Transactions of the Royal Society B: Biological Sciences","DOI":"10.1098/rstb.2017.0090","ISSN":"0962-8436, 1471-2970","issue":"1745","journalAbbreviation":"Phil. Trans. R. Soc. B","language":"en","page":"20170090","source":"DOI.org (Crossref)","title":"Feeder density enhances house finch disease transmission in experimental epidemics","volume":"373","author":[{"family":"Moyers","given":"Sahnzi C."},{"family":"Adelman","given":"James S."},{"family":"Farine","given":"Damien R."},{"family":"Thomason","given":"Courtney A."},{"family":"Hawley","given":"Dana M."}],"issued":{"date-parts":[["2018",5,5]]}}}],"schema":"https://github.com/citation-style-language/schema/raw/master/csl-citation.json"} </w:instrText>
      </w:r>
      <w:r>
        <w:rPr>
          <w:rFonts w:ascii="Times New Roman" w:hAnsi="Times New Roman" w:cs="Times New Roman"/>
        </w:rPr>
        <w:fldChar w:fldCharType="separate"/>
      </w:r>
      <w:r w:rsidR="00EF4835">
        <w:rPr>
          <w:rFonts w:ascii="Times New Roman" w:hAnsi="Times New Roman" w:cs="Times New Roman"/>
        </w:rPr>
        <w:t>(Adelman et al., 2015; Moyers et al., 2018)</w:t>
      </w:r>
      <w:r>
        <w:rPr>
          <w:rFonts w:ascii="Times New Roman" w:hAnsi="Times New Roman" w:cs="Times New Roman"/>
        </w:rPr>
        <w:fldChar w:fldCharType="end"/>
      </w:r>
      <w:r>
        <w:rPr>
          <w:rFonts w:ascii="Times New Roman" w:hAnsi="Times New Roman" w:cs="Times New Roman"/>
        </w:rPr>
        <w:t xml:space="preserve"> and is given by: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ij</m:t>
            </m:r>
          </m:sub>
        </m:sSub>
        <m:r>
          <w:rPr>
            <w:rFonts w:ascii="Cambria Math" w:hAnsi="Cambria Math" w:cs="Times New Roman"/>
          </w:rPr>
          <m:t>=τ</m:t>
        </m:r>
        <m:acc>
          <m:accPr>
            <m:chr m:val="̅"/>
            <m:ctrlPr>
              <w:rPr>
                <w:rFonts w:ascii="Cambria Math" w:hAnsi="Cambria Math" w:cs="Times New Roman"/>
                <w:i/>
              </w:rPr>
            </m:ctrlPr>
          </m:accPr>
          <m:e>
            <m:r>
              <w:rPr>
                <w:rFonts w:ascii="Cambria Math" w:hAnsi="Cambria Math" w:cs="Times New Roman"/>
              </w:rPr>
              <m:t>c</m:t>
            </m:r>
          </m:e>
        </m:acc>
      </m:oMath>
      <w:r w:rsidR="00334E94">
        <w:rPr>
          <w:rFonts w:ascii="Times New Roman" w:hAnsi="Times New Roman" w:cs="Times New Roman"/>
        </w:rPr>
        <w:t>,</w:t>
      </w:r>
      <w:r>
        <w:rPr>
          <w:rFonts w:ascii="Times New Roman" w:hAnsi="Times New Roman" w:cs="Times New Roman"/>
        </w:rPr>
        <w:t xml:space="preserve"> </w:t>
      </w:r>
      <w:r w:rsidR="00334E94">
        <w:rPr>
          <w:rFonts w:ascii="Times New Roman" w:hAnsi="Times New Roman" w:cs="Times New Roman"/>
        </w:rPr>
        <w:t>w</w:t>
      </w:r>
      <w:r>
        <w:rPr>
          <w:rFonts w:ascii="Times New Roman" w:hAnsi="Times New Roman" w:cs="Times New Roman"/>
        </w:rPr>
        <w:t xml:space="preserve">here </w:t>
      </w:r>
      <m:oMath>
        <m:r>
          <w:rPr>
            <w:rFonts w:ascii="Cambria Math" w:hAnsi="Cambria Math" w:cs="Times New Roman"/>
          </w:rPr>
          <m:t>τ</m:t>
        </m:r>
      </m:oMath>
      <w:r>
        <w:rPr>
          <w:rFonts w:ascii="Times New Roman" w:hAnsi="Times New Roman" w:cs="Times New Roman"/>
        </w:rPr>
        <w:t xml:space="preserve"> is the prevalence of new infections among susceptible individuals and </w:t>
      </w:r>
      <m:oMath>
        <m:acc>
          <m:accPr>
            <m:chr m:val="̅"/>
            <m:ctrlPr>
              <w:rPr>
                <w:rFonts w:ascii="Cambria Math" w:hAnsi="Cambria Math" w:cs="Times New Roman"/>
                <w:i/>
              </w:rPr>
            </m:ctrlPr>
          </m:accPr>
          <m:e>
            <m:r>
              <w:rPr>
                <w:rFonts w:ascii="Cambria Math" w:hAnsi="Cambria Math" w:cs="Times New Roman"/>
              </w:rPr>
              <m:t>c</m:t>
            </m:r>
          </m:e>
        </m:acc>
      </m:oMath>
      <w:r>
        <w:rPr>
          <w:rFonts w:ascii="Times New Roman" w:hAnsi="Times New Roman" w:cs="Times New Roman"/>
        </w:rPr>
        <w:t xml:space="preserve"> is the contact rate or the number of individuals </w:t>
      </w:r>
      <w:r w:rsidR="000A0329">
        <w:rPr>
          <w:rFonts w:ascii="Times New Roman" w:hAnsi="Times New Roman" w:cs="Times New Roman"/>
        </w:rPr>
        <w:t>in the flock</w:t>
      </w:r>
      <w:r>
        <w:rPr>
          <w:rFonts w:ascii="Times New Roman" w:hAnsi="Times New Roman" w:cs="Times New Roman"/>
        </w:rPr>
        <w:t xml:space="preserve"> divided by the duration of time since the last sampling period </w:t>
      </w:r>
      <w:r>
        <w:rPr>
          <w:rFonts w:ascii="Times New Roman" w:hAnsi="Times New Roman" w:cs="Times New Roman"/>
        </w:rPr>
        <w:fldChar w:fldCharType="begin"/>
      </w:r>
      <w:r>
        <w:rPr>
          <w:rFonts w:ascii="Times New Roman" w:hAnsi="Times New Roman" w:cs="Times New Roman"/>
        </w:rPr>
        <w:instrText xml:space="preserve"> ADDIN ZOTERO_ITEM CSL_CITATION {"citationID":"tykzHW3b","properties":{"formattedCitation":"(Anderson &amp; May, 1986)","plainCitation":"(Anderson &amp; May, 1986)","noteIndex":0},"citationItems":[{"id":13171,"uris":["http://zotero.org/users/6240348/items/BXRTFAT7"],"itemData":{"id":13171,"type":"article-journal","container-title":"Philosophical Transactions of the Royal Society of London. B, Biological Sciences","issue":"1167","note":"publisher: The Royal Society London","page":"533–570","title":"The invasion, persistence and spread of infectious diseases within animal and plant communities","volume":"314","author":[{"family":"Anderson","given":"Roy Malcolm"},{"family":"May","given":"Robert Mccredie"}],"issued":{"date-parts":[["1986"]]}}}],"schema":"https://github.com/citation-style-language/schema/raw/master/csl-citation.json"}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(Anderson &amp; May, 1986)</w:t>
      </w:r>
      <w:r>
        <w:rPr>
          <w:rFonts w:ascii="Times New Roman" w:hAnsi="Times New Roman" w:cs="Times New Roman"/>
        </w:rPr>
        <w:fldChar w:fldCharType="end"/>
      </w:r>
      <w:r>
        <w:rPr>
          <w:rFonts w:ascii="Times New Roman" w:hAnsi="Times New Roman" w:cs="Times New Roman"/>
        </w:rPr>
        <w:t xml:space="preserve">. </w:t>
      </w:r>
      <w:r w:rsidR="000A0329">
        <w:rPr>
          <w:rFonts w:ascii="Times New Roman" w:hAnsi="Times New Roman" w:cs="Times New Roman"/>
        </w:rPr>
        <w:t>We use density-dependent transmission rates, as opposed to frequency-dependent, because density-dependence best describes transmission at feeders</w:t>
      </w:r>
      <w:r w:rsidR="00D7773A">
        <w:rPr>
          <w:rFonts w:ascii="Times New Roman" w:hAnsi="Times New Roman" w:cs="Times New Roman"/>
        </w:rPr>
        <w:t xml:space="preserve"> (Hosseini et al., 2004)</w:t>
      </w:r>
      <w:r w:rsidR="000A0329">
        <w:rPr>
          <w:rFonts w:ascii="Times New Roman" w:hAnsi="Times New Roman" w:cs="Times New Roman"/>
        </w:rPr>
        <w:t xml:space="preserve">. </w:t>
      </w:r>
      <w:r>
        <w:rPr>
          <w:rFonts w:ascii="Times New Roman" w:hAnsi="Times New Roman" w:cs="Times New Roman"/>
        </w:rPr>
        <w:t xml:space="preserve">Final </w:t>
      </w:r>
      <w:r w:rsidRPr="005B276B">
        <w:rPr>
          <w:rFonts w:ascii="Times New Roman" w:hAnsi="Times New Roman" w:cs="Times New Roman"/>
          <w:i/>
          <w:iCs/>
        </w:rPr>
        <w:t>β</w:t>
      </w:r>
      <w:proofErr w:type="spellStart"/>
      <w:r w:rsidRPr="005B276B">
        <w:rPr>
          <w:rFonts w:ascii="Times New Roman" w:hAnsi="Times New Roman" w:cs="Times New Roman"/>
          <w:i/>
          <w:iCs/>
          <w:vertAlign w:val="subscript"/>
        </w:rPr>
        <w:t>i</w:t>
      </w:r>
      <w:r>
        <w:rPr>
          <w:rFonts w:ascii="Times New Roman" w:hAnsi="Times New Roman" w:cs="Times New Roman"/>
          <w:i/>
          <w:iCs/>
          <w:vertAlign w:val="subscript"/>
        </w:rPr>
        <w:t>j</w:t>
      </w:r>
      <w:proofErr w:type="spellEnd"/>
      <w:r>
        <w:rPr>
          <w:rFonts w:ascii="Times New Roman" w:hAnsi="Times New Roman" w:cs="Times New Roman"/>
        </w:rPr>
        <w:t xml:space="preserve"> values are the average of multiple same-type flock-level transmission rates. An individual was considered infected when MG load was &gt; 100 gene copies (see Supplemental Methods &amp; Table S1 for more details). Single-sex transmission rates were estimated from experimental same-sex house finch flocks published in Adelman et al. </w:t>
      </w:r>
      <w:r>
        <w:rPr>
          <w:rFonts w:ascii="Times New Roman" w:hAnsi="Times New Roman" w:cs="Times New Roman"/>
        </w:rPr>
        <w:fldChar w:fldCharType="begin"/>
      </w:r>
      <w:r>
        <w:rPr>
          <w:rFonts w:ascii="Times New Roman" w:hAnsi="Times New Roman" w:cs="Times New Roman"/>
        </w:rPr>
        <w:instrText xml:space="preserve"> ADDIN ZOTERO_ITEM CSL_CITATION {"citationID":"aeLmm3ND","properties":{"formattedCitation":"(2015)","plainCitation":"(2015)","noteIndex":0},"citationItems":[{"id":11943,"uris":["http://zotero.org/users/6240348/items/7TY2MALJ"],"itemData":{"id":11943,"type":"article-journal","abstract":"Individual heterogeneity can influence the dynamics of infectious diseases in wildlife and humans alike. Thus, recent work has sought to identify behavioural characteristics that contribute disproportionately to individual variation in pathogen acquisition (super-receiving) or transmission (super-spreading). However, it remains unknown whether the same behaviours enhance both acquisition and transmission, a scenario likely to result in explosive epidemics. Here, we examined this possibility in an ecologically relevant host–pathogen system: house finches and their bacterial pathogen,\n              Mycoplasma gallisepticum\n              , which causes severe conjunctivitis. We examined behaviours likely to influence disease acquisition (feeder use, aggression, social network affiliations) in an observational field study, finding that the time an individual spends on bird feeders best predicted the risk of conjunctivitis. To test whether this behaviour also influences the likelihood of transmitting\n              M. gallisepticum\n              , we experimentally inoculated individuals based on feeding behaviour and tracked epidemics within captive flocks. As predicted, transmission was fastest when birds that spent the most time on feeders initiated the epidemic. Our results suggest that the same behaviour underlies both pathogen acquisition and transmission in this system and potentially others. Identifying individuals that exhibit such behaviours is critical for disease management.","container-title":"Proceedings of the Royal Society B: Biological Sciences","DOI":"10.1098/rspb.2015.1429","ISSN":"0962-8452, 1471-2954","issue":"1815","journalAbbreviation":"Proc. R. Soc. B.","language":"en","page":"20151429","source":"DOI.org (Crossref)","title":"Feeder use predicts both acquisition and transmission of a contagious pathogen in a North American songbird","volume":"282","author":[{"family":"Adelman","given":"James S."},{"family":"Moyers","given":"Sahnzi C."},{"family":"Farine","given":"Damien R."},{"family":"Hawley","given":"Dana M."}],"issued":{"date-parts":[["2015",9,22]]}},"suppress-author":true}],"schema":"https://github.com/citation-style-language/schema/raw/master/csl-citation.json"}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(2015)</w:t>
      </w:r>
      <w:r>
        <w:rPr>
          <w:rFonts w:ascii="Times New Roman" w:hAnsi="Times New Roman" w:cs="Times New Roman"/>
        </w:rPr>
        <w:fldChar w:fldCharType="end"/>
      </w:r>
      <w:r>
        <w:rPr>
          <w:rFonts w:ascii="Times New Roman" w:hAnsi="Times New Roman" w:cs="Times New Roman"/>
        </w:rPr>
        <w:t xml:space="preserve"> and included 6 male flocks and 4 female flocks sampled 3 times at 4 day intervals. Transmission rates from male and female birds to 50:50 </w:t>
      </w:r>
      <w:r>
        <w:rPr>
          <w:rFonts w:ascii="Times New Roman" w:hAnsi="Times New Roman" w:cs="Times New Roman"/>
        </w:rPr>
        <w:lastRenderedPageBreak/>
        <w:t xml:space="preserve">mixed-sex flocks were estimated from experimental mixed-sex house finch flocks published in Moyers </w:t>
      </w:r>
      <w:r w:rsidRPr="00B71FDC">
        <w:rPr>
          <w:rFonts w:ascii="Times New Roman" w:hAnsi="Times New Roman" w:cs="Times New Roman"/>
          <w:i/>
          <w:iCs/>
        </w:rPr>
        <w:t>et al.</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{"citationID":"pgjLvX1B","properties":{"formattedCitation":"(2018)","plainCitation":"(2018)","noteIndex":0},"citationItems":[{"id":11921,"uris":["http://zotero.org/users/6240348/items/MQBD9XVR"],"itemData":{"id":11921,"type":"article-journal","abstract":"Anthropogenic food provisioning of wildlife can alter the frequency of contacts among hosts and between hosts and environmental sources of pathogens. Despite the popularity of garden bird feeding, few studies have addressed how feeders influence host contact rates and disease dynamics. We experimentally manipulated feeder density in replicate aviaries containing captive, pathogen-naive, groups of house finches (\n              Haemorhous mexicanus\n              ) and continuously tracked behaviours at feeders using radio-frequency identification devices. We then inoculated one bird per group with\n              Mycoplasma gallisepticum\n              (Mg), a common bacterial pathogen for which feeders are fomites of transmission, and assessed effects of feeder density on house finch behaviour and pathogen transmission. We found that pathogen transmission was significantly higher in groups with the highest density of bird feeders, despite a significantly lower rate of intraspecific aggressive interactions relative to the low feeder density groups. Conversely, among naive group members that never showed signs of disease, we saw significantly higher concentrations of Mg-specific antibodies in low feeder density groups, suggesting that birds in low feeder density treatments had exposure to subclinical doses of Mg. We discuss ways in which the density of garden bird feeders could play an important role in mediating the intensity of Mg epidemics.\n            \n            This article is part of the theme issue ‘Anthropogenic resource subsidies and host–parasite dynamics in wildlife'.","container-title":"Philosophical Transactions of the Royal Society B: Biological Sciences","DOI":"10.1098/rstb.2017.0090","ISSN":"0962-8436, 1471-2970","issue":"1745","journalAbbreviation":"Phil. Trans. R. Soc. B","language":"en","page":"20170090","source":"DOI.org (Crossref)","title":"Feeder density enhances house finch disease transmission in experimental epidemics","volume":"373","author":[{"family":"Moyers","given":"Sahnzi C."},{"family":"Adelman","given":"James S."},{"family":"Farine","given":"Damien R."},{"family":"Thomason","given":"Courtney A."},{"family":"Hawley","given":"Dana M."}],"issued":{"date-parts":[["2018",5,5]]}},"suppress-author":true}],"schema":"https://github.com/citation-style-language/schema/raw/master/csl-citation.json"}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(2018)</w:t>
      </w:r>
      <w:r>
        <w:rPr>
          <w:rFonts w:ascii="Times New Roman" w:hAnsi="Times New Roman" w:cs="Times New Roman"/>
        </w:rPr>
        <w:fldChar w:fldCharType="end"/>
      </w:r>
      <w:r>
        <w:rPr>
          <w:rFonts w:ascii="Times New Roman" w:hAnsi="Times New Roman" w:cs="Times New Roman"/>
        </w:rPr>
        <w:t xml:space="preserve"> and included 7 male to mixed-sex flocks and 3 female to mixed-sex flocks sampled 3 times at 6 day intervals.</w:t>
      </w:r>
    </w:p>
    <w:p w14:paraId="2BFF3541" w14:textId="5AF6D2C0" w:rsidR="00FE2A33" w:rsidRDefault="00FE2A33" w:rsidP="00FE2A33">
      <w:pPr>
        <w:spacing w:line="480" w:lineRule="auto"/>
        <w:ind w:firstLine="720"/>
        <w:rPr>
          <w:rFonts w:ascii="Times New Roman" w:hAnsi="Times New Roman" w:cs="Times New Roman"/>
        </w:rPr>
      </w:pPr>
      <w:r>
        <w:rPr>
          <w:rFonts w:ascii="Times New Roman" w:hAnsi="Times New Roman" w:cs="Times New Roman"/>
        </w:rPr>
        <w:t>The rate at which individuals move from exposed to infectious states (</w:t>
      </w:r>
      <w:proofErr w:type="spellStart"/>
      <w:r w:rsidRPr="001A20D7">
        <w:rPr>
          <w:rFonts w:ascii="Times New Roman" w:hAnsi="Times New Roman" w:cs="Times New Roman"/>
          <w:i/>
          <w:iCs/>
        </w:rPr>
        <w:t>σ</w:t>
      </w:r>
      <w:r w:rsidRPr="001A20D7">
        <w:rPr>
          <w:rFonts w:ascii="Times New Roman" w:hAnsi="Times New Roman" w:cs="Times New Roman"/>
          <w:i/>
          <w:iCs/>
          <w:vertAlign w:val="subscript"/>
        </w:rPr>
        <w:t>i</w:t>
      </w:r>
      <w:proofErr w:type="spellEnd"/>
      <w:r>
        <w:rPr>
          <w:rFonts w:ascii="Times New Roman" w:hAnsi="Times New Roman" w:cs="Times New Roman"/>
        </w:rPr>
        <w:t>), recovery rate (</w:t>
      </w:r>
      <w:proofErr w:type="spellStart"/>
      <w:r w:rsidRPr="00E060A0">
        <w:rPr>
          <w:rFonts w:ascii="Times New Roman" w:hAnsi="Times New Roman" w:cs="Times New Roman"/>
          <w:i/>
          <w:iCs/>
        </w:rPr>
        <w:t>γ</w:t>
      </w:r>
      <w:r w:rsidRPr="00E060A0">
        <w:rPr>
          <w:rFonts w:ascii="Times New Roman" w:hAnsi="Times New Roman" w:cs="Times New Roman"/>
          <w:i/>
          <w:iCs/>
          <w:vertAlign w:val="subscript"/>
        </w:rPr>
        <w:t>i</w:t>
      </w:r>
      <w:proofErr w:type="spellEnd"/>
      <w:r>
        <w:rPr>
          <w:rFonts w:ascii="Times New Roman" w:hAnsi="Times New Roman" w:cs="Times New Roman"/>
        </w:rPr>
        <w:t>), and mortality rate (</w:t>
      </w:r>
      <w:r w:rsidRPr="00C93578">
        <w:rPr>
          <w:rFonts w:ascii="Times New Roman" w:hAnsi="Times New Roman" w:cs="Times New Roman"/>
          <w:i/>
          <w:iCs/>
        </w:rPr>
        <w:t>µ</w:t>
      </w:r>
      <w:proofErr w:type="spellStart"/>
      <w:r w:rsidRPr="00C93578">
        <w:rPr>
          <w:rFonts w:ascii="Times New Roman" w:hAnsi="Times New Roman" w:cs="Times New Roman"/>
          <w:i/>
          <w:iCs/>
          <w:vertAlign w:val="subscript"/>
        </w:rPr>
        <w:t>i</w:t>
      </w:r>
      <w:proofErr w:type="spellEnd"/>
      <w:r>
        <w:rPr>
          <w:rFonts w:ascii="Times New Roman" w:hAnsi="Times New Roman" w:cs="Times New Roman"/>
        </w:rPr>
        <w:t xml:space="preserve">) of sex </w:t>
      </w:r>
      <w:proofErr w:type="spellStart"/>
      <w:r w:rsidRPr="00E060A0">
        <w:rPr>
          <w:rFonts w:ascii="Times New Roman" w:hAnsi="Times New Roman" w:cs="Times New Roman"/>
          <w:i/>
          <w:iCs/>
        </w:rPr>
        <w:t>i</w:t>
      </w:r>
      <w:proofErr w:type="spellEnd"/>
      <w:r>
        <w:rPr>
          <w:rFonts w:ascii="Times New Roman" w:hAnsi="Times New Roman" w:cs="Times New Roman"/>
        </w:rPr>
        <w:t xml:space="preserve"> were estimated from the experimental canary infections described above. Canaries are a common model for house finch-MG infections and have similar pathology and susceptibility to MG as house finches </w:t>
      </w:r>
      <w:r>
        <w:rPr>
          <w:rFonts w:ascii="Times New Roman" w:hAnsi="Times New Roman" w:cs="Times New Roman"/>
        </w:rPr>
        <w:fldChar w:fldCharType="begin"/>
      </w:r>
      <w:r>
        <w:rPr>
          <w:rFonts w:ascii="Times New Roman" w:hAnsi="Times New Roman" w:cs="Times New Roman"/>
        </w:rPr>
        <w:instrText xml:space="preserve"> ADDIN ZOTERO_ITEM CSL_CITATION {"citationID":"qAvt7vHv","properties":{"formattedCitation":"(Hawley et al., 2011)","plainCitation":"(Hawley et al., 2011)","noteIndex":0},"citationItems":[{"id":13024,"uris":["http://zotero.org/users/6240348/items/6MXMETRY"],"itemData":{"id":13024,"type":"article-journal","container-title":"Avian Pathology","issue":"3","note":"publisher: Taylor &amp; Francis","page":"321–327","title":"Experimental infection of domestic canaries (Serinus canaria domestica) with Mycoplasma gallisepticum: a new model system for a wildlife disease","volume":"40","author":[{"family":"Hawley","given":"Dana M"},{"family":"Grodio","given":"Jessica"},{"family":"Frasca Jr","given":"Salvatore"},{"family":"Kirkpatrick","given":"Laila"},{"family":"Ley","given":"David H"}],"issued":{"date-parts":[["2011"]]}}}],"schema":"https://github.com/citation-style-language/schema/raw/master/csl-citation.json"}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(Hawley et al., 2011)</w:t>
      </w:r>
      <w:r>
        <w:rPr>
          <w:rFonts w:ascii="Times New Roman" w:hAnsi="Times New Roman" w:cs="Times New Roman"/>
        </w:rPr>
        <w:fldChar w:fldCharType="end"/>
      </w:r>
      <w:r>
        <w:rPr>
          <w:rFonts w:ascii="Times New Roman" w:hAnsi="Times New Roman" w:cs="Times New Roman"/>
        </w:rPr>
        <w:t xml:space="preserve">. Parameter </w:t>
      </w:r>
      <w:proofErr w:type="spellStart"/>
      <w:r w:rsidRPr="001A20D7">
        <w:rPr>
          <w:rFonts w:ascii="Times New Roman" w:hAnsi="Times New Roman" w:cs="Times New Roman"/>
          <w:i/>
          <w:iCs/>
        </w:rPr>
        <w:t>σ</w:t>
      </w:r>
      <w:r w:rsidRPr="001A20D7">
        <w:rPr>
          <w:rFonts w:ascii="Times New Roman" w:hAnsi="Times New Roman" w:cs="Times New Roman"/>
          <w:i/>
          <w:iCs/>
          <w:vertAlign w:val="subscript"/>
        </w:rPr>
        <w:t>i</w:t>
      </w:r>
      <w:proofErr w:type="spellEnd"/>
      <w:r>
        <w:rPr>
          <w:rFonts w:ascii="Times New Roman" w:hAnsi="Times New Roman" w:cs="Times New Roman"/>
        </w:rPr>
        <w:t xml:space="preserve"> is calculated as the inverse of the average number of days from exposure until presentation of symptomatic disease (</w:t>
      </w:r>
      <w:proofErr w:type="gramStart"/>
      <w:r>
        <w:rPr>
          <w:rFonts w:ascii="Times New Roman" w:hAnsi="Times New Roman" w:cs="Times New Roman"/>
        </w:rPr>
        <w:t>i.e.</w:t>
      </w:r>
      <w:proofErr w:type="gramEnd"/>
      <w:r>
        <w:rPr>
          <w:rFonts w:ascii="Times New Roman" w:hAnsi="Times New Roman" w:cs="Times New Roman"/>
        </w:rPr>
        <w:t xml:space="preserve"> eye score &lt; 0) while </w:t>
      </w:r>
      <w:proofErr w:type="spellStart"/>
      <w:r w:rsidRPr="00E060A0">
        <w:rPr>
          <w:rFonts w:ascii="Times New Roman" w:hAnsi="Times New Roman" w:cs="Times New Roman"/>
          <w:i/>
          <w:iCs/>
        </w:rPr>
        <w:t>γ</w:t>
      </w:r>
      <w:r w:rsidRPr="00E060A0">
        <w:rPr>
          <w:rFonts w:ascii="Times New Roman" w:hAnsi="Times New Roman" w:cs="Times New Roman"/>
          <w:i/>
          <w:iCs/>
          <w:vertAlign w:val="subscript"/>
        </w:rPr>
        <w:t>i</w:t>
      </w:r>
      <w:proofErr w:type="spellEnd"/>
      <w:r>
        <w:rPr>
          <w:rFonts w:ascii="Times New Roman" w:hAnsi="Times New Roman" w:cs="Times New Roman"/>
        </w:rPr>
        <w:t xml:space="preserve"> is the inverse of the average number of days from exposure until recovery from symptomatic disease (i.e. eye score = 0). Mortality rate (</w:t>
      </w:r>
      <w:r w:rsidRPr="00C93578">
        <w:rPr>
          <w:rFonts w:ascii="Times New Roman" w:hAnsi="Times New Roman" w:cs="Times New Roman"/>
          <w:i/>
          <w:iCs/>
        </w:rPr>
        <w:t>µ</w:t>
      </w:r>
      <w:proofErr w:type="spellStart"/>
      <w:r w:rsidRPr="00C93578">
        <w:rPr>
          <w:rFonts w:ascii="Times New Roman" w:hAnsi="Times New Roman" w:cs="Times New Roman"/>
          <w:i/>
          <w:iCs/>
          <w:vertAlign w:val="subscript"/>
        </w:rPr>
        <w:t>i</w:t>
      </w:r>
      <w:proofErr w:type="spellEnd"/>
      <w:r>
        <w:rPr>
          <w:rFonts w:ascii="Times New Roman" w:hAnsi="Times New Roman" w:cs="Times New Roman"/>
        </w:rPr>
        <w:t xml:space="preserve">) is calculated as the daily rate which individuals die after exposure and is given by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=-ln</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1-N</m:t>
                    </m:r>
                  </m:e>
                  <m:sub>
                    <m:r>
                      <w:rPr>
                        <w:rFonts w:ascii="Cambria Math" w:hAnsi="Cambria Math" w:cs="Times New Roman"/>
                      </w:rPr>
                      <m:t>d</m:t>
                    </m:r>
                  </m:sub>
                </m:sSub>
                <m:r>
                  <w:rPr>
                    <w:rFonts w:ascii="Cambria Math" w:hAnsi="Cambria Math" w:cs="Times New Roman"/>
                  </w:rPr>
                  <m:t>/N</m:t>
                </m:r>
              </m:num>
              <m:den>
                <m:r>
                  <w:rPr>
                    <w:rFonts w:ascii="Cambria Math" w:hAnsi="Cambria Math" w:cs="Times New Roman"/>
                  </w:rPr>
                  <m:t>D</m:t>
                </m:r>
              </m:den>
            </m:f>
          </m:e>
        </m:d>
      </m:oMath>
      <w:r>
        <w:rPr>
          <w:rFonts w:ascii="Times New Roman" w:eastAsiaTheme="minorEastAsia" w:hAnsi="Times New Roman" w:cs="Times New Roman"/>
        </w:rPr>
        <w:t xml:space="preserve"> where </w:t>
      </w:r>
      <w:r w:rsidRPr="00272CA3">
        <w:rPr>
          <w:rFonts w:ascii="Times New Roman" w:eastAsiaTheme="minorEastAsia" w:hAnsi="Times New Roman" w:cs="Times New Roman"/>
          <w:i/>
          <w:iCs/>
        </w:rPr>
        <w:t>N</w:t>
      </w:r>
      <w:r w:rsidRPr="00272CA3">
        <w:rPr>
          <w:rFonts w:ascii="Times New Roman" w:eastAsiaTheme="minorEastAsia" w:hAnsi="Times New Roman" w:cs="Times New Roman"/>
          <w:i/>
          <w:iCs/>
          <w:vertAlign w:val="subscript"/>
        </w:rPr>
        <w:t>d</w:t>
      </w:r>
      <w:r>
        <w:rPr>
          <w:rFonts w:ascii="Times New Roman" w:eastAsiaTheme="minorEastAsia" w:hAnsi="Times New Roman" w:cs="Times New Roman"/>
          <w:i/>
          <w:iCs/>
          <w:vertAlign w:val="subscript"/>
        </w:rPr>
        <w:t xml:space="preserve"> </w:t>
      </w:r>
      <w:r w:rsidRPr="00272CA3">
        <w:rPr>
          <w:rFonts w:ascii="Times New Roman" w:eastAsiaTheme="minorEastAsia" w:hAnsi="Times New Roman" w:cs="Times New Roman"/>
          <w:i/>
          <w:iCs/>
        </w:rPr>
        <w:t>/N</w:t>
      </w:r>
      <w:r>
        <w:rPr>
          <w:rFonts w:ascii="Times New Roman" w:eastAsiaTheme="minorEastAsia" w:hAnsi="Times New Roman" w:cs="Times New Roman"/>
        </w:rPr>
        <w:t xml:space="preserve"> is the proportion of individuals that died during the duration of the experiment (</w:t>
      </w:r>
      <w:r w:rsidRPr="00272CA3">
        <w:rPr>
          <w:rFonts w:ascii="Times New Roman" w:eastAsiaTheme="minorEastAsia" w:hAnsi="Times New Roman" w:cs="Times New Roman"/>
          <w:i/>
          <w:iCs/>
        </w:rPr>
        <w:t>D</w:t>
      </w:r>
      <w:r>
        <w:rPr>
          <w:rFonts w:ascii="Times New Roman" w:eastAsiaTheme="minorEastAsia" w:hAnsi="Times New Roman" w:cs="Times New Roman"/>
        </w:rPr>
        <w:t>)</w:t>
      </w:r>
      <w:r>
        <w:rPr>
          <w:rFonts w:ascii="Times New Roman" w:hAnsi="Times New Roman" w:cs="Times New Roman"/>
        </w:rPr>
        <w:t xml:space="preserve">. We also calculated the basic reproductive number, given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ii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i</m:t>
            </m:r>
          </m:sub>
        </m:sSub>
      </m:oMath>
      <w:r>
        <w:rPr>
          <w:rFonts w:ascii="Times New Roman" w:hAnsi="Times New Roman" w:cs="Times New Roman"/>
        </w:rPr>
        <w:t xml:space="preserve">, for all male and all female populations </w:t>
      </w:r>
      <w:r>
        <w:rPr>
          <w:rFonts w:ascii="Times New Roman" w:hAnsi="Times New Roman" w:cs="Times New Roman"/>
        </w:rPr>
        <w:fldChar w:fldCharType="begin"/>
      </w:r>
      <w:r>
        <w:rPr>
          <w:rFonts w:ascii="Times New Roman" w:hAnsi="Times New Roman" w:cs="Times New Roman"/>
        </w:rPr>
        <w:instrText xml:space="preserve"> ADDIN ZOTERO_ITEM CSL_CITATION {"citationID":"j0HOPJNV","properties":{"formattedCitation":"(Anderson &amp; May, 1986)","plainCitation":"(Anderson &amp; May, 1986)","noteIndex":0},"citationItems":[{"id":13171,"uris":["http://zotero.org/users/6240348/items/BXRTFAT7"],"itemData":{"id":13171,"type":"article-journal","container-title":"Philosophical Transactions of the Royal Society of London. B, Biological Sciences","issue":"1167","note":"publisher: The Royal Society London","page":"533–570","title":"The invasion, persistence and spread of infectious diseases within animal and plant communities","volume":"314","author":[{"family":"Anderson","given":"Roy Malcolm"},{"family":"May","given":"Robert Mccredie"}],"issued":{"date-parts":[["1986"]]}}}],"schema":"https://github.com/citation-style-language/schema/raw/master/csl-citation.json"}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(Anderson &amp; May, 1986)</w:t>
      </w:r>
      <w:r>
        <w:rPr>
          <w:rFonts w:ascii="Times New Roman" w:hAnsi="Times New Roman" w:cs="Times New Roman"/>
        </w:rPr>
        <w:fldChar w:fldCharType="end"/>
      </w:r>
      <w:r>
        <w:rPr>
          <w:rFonts w:ascii="Times New Roman" w:hAnsi="Times New Roman" w:cs="Times New Roman"/>
        </w:rPr>
        <w:t>. See Table 1 for full list of parameter definitions and their values.</w:t>
      </w:r>
    </w:p>
    <w:p w14:paraId="78AAC2B8" w14:textId="77777777" w:rsidR="00FE2A33" w:rsidRDefault="00FE2A33" w:rsidP="00FE2A33">
      <w:pPr>
        <w:spacing w:line="480" w:lineRule="auto"/>
        <w:ind w:firstLine="720"/>
        <w:rPr>
          <w:rFonts w:ascii="Times New Roman" w:hAnsi="Times New Roman" w:cs="Times New Roman"/>
        </w:rPr>
      </w:pPr>
      <w:r>
        <w:rPr>
          <w:rFonts w:ascii="Times New Roman" w:hAnsi="Times New Roman" w:cs="Times New Roman"/>
        </w:rPr>
        <w:t xml:space="preserve">To determine the robustness of our parameter calculations we conducted a sensitivity analysis for all parameters except for mortality rate. We ran simulations of the previously described SEIR model that individually varied each parameter by </w:t>
      </w:r>
      <w:r>
        <w:rPr>
          <w:rFonts w:ascii="Times New Roman" w:hAnsi="Times New Roman" w:cs="Times New Roman"/>
        </w:rPr>
        <w:sym w:font="Symbol" w:char="F0B1"/>
      </w:r>
      <w:r>
        <w:rPr>
          <w:rFonts w:ascii="Times New Roman" w:hAnsi="Times New Roman" w:cs="Times New Roman"/>
        </w:rPr>
        <w:t xml:space="preserve"> 1.0 and </w:t>
      </w:r>
      <w:r>
        <w:rPr>
          <w:rFonts w:ascii="Times New Roman" w:hAnsi="Times New Roman" w:cs="Times New Roman"/>
        </w:rPr>
        <w:sym w:font="Symbol" w:char="F0B1"/>
      </w:r>
      <w:r>
        <w:rPr>
          <w:rFonts w:ascii="Times New Roman" w:hAnsi="Times New Roman" w:cs="Times New Roman"/>
        </w:rPr>
        <w:t xml:space="preserve"> 0.5 SD (see Supplemental methods and the supplemental sensitivity analysis database for more information). In all simulations, epidemic size increased with the number of male birds in the flock. All-female flock epidemics were largest at </w:t>
      </w:r>
      <w:r w:rsidRPr="005B276B">
        <w:rPr>
          <w:rFonts w:ascii="Times New Roman" w:hAnsi="Times New Roman" w:cs="Times New Roman"/>
          <w:i/>
          <w:iCs/>
        </w:rPr>
        <w:t>β</w:t>
      </w:r>
      <w:r>
        <w:rPr>
          <w:rFonts w:ascii="Times New Roman" w:hAnsi="Times New Roman" w:cs="Times New Roman"/>
          <w:i/>
          <w:iCs/>
          <w:vertAlign w:val="subscript"/>
        </w:rPr>
        <w:t>ff</w:t>
      </w:r>
      <w:r>
        <w:rPr>
          <w:rFonts w:ascii="Times New Roman" w:hAnsi="Times New Roman" w:cs="Times New Roman"/>
        </w:rPr>
        <w:t xml:space="preserve"> +1 SD, though the epidemic was still lower than the smallest all-male flock epidemic which occurred at </w:t>
      </w:r>
      <w:proofErr w:type="spellStart"/>
      <w:r w:rsidRPr="00E060A0">
        <w:rPr>
          <w:rFonts w:ascii="Times New Roman" w:hAnsi="Times New Roman" w:cs="Times New Roman"/>
          <w:i/>
          <w:iCs/>
        </w:rPr>
        <w:t>γ</w:t>
      </w:r>
      <w:r>
        <w:rPr>
          <w:rFonts w:ascii="Times New Roman" w:hAnsi="Times New Roman" w:cs="Times New Roman"/>
          <w:i/>
          <w:iCs/>
          <w:vertAlign w:val="subscript"/>
        </w:rPr>
        <w:t>m</w:t>
      </w:r>
      <w:proofErr w:type="spellEnd"/>
      <w:r>
        <w:rPr>
          <w:rFonts w:ascii="Times New Roman" w:hAnsi="Times New Roman" w:cs="Times New Roman"/>
        </w:rPr>
        <w:t xml:space="preserve"> -1 SD (64% vs. 77% of individuals infected, respectively). Only one other all-female flock reached an epidemic size where &gt;11% of </w:t>
      </w:r>
      <w:r>
        <w:rPr>
          <w:rFonts w:ascii="Times New Roman" w:hAnsi="Times New Roman" w:cs="Times New Roman"/>
        </w:rPr>
        <w:lastRenderedPageBreak/>
        <w:t>individuals were infected (</w:t>
      </w:r>
      <w:r w:rsidRPr="005B276B">
        <w:rPr>
          <w:rFonts w:ascii="Times New Roman" w:hAnsi="Times New Roman" w:cs="Times New Roman"/>
          <w:i/>
          <w:iCs/>
        </w:rPr>
        <w:t>β</w:t>
      </w:r>
      <w:r>
        <w:rPr>
          <w:rFonts w:ascii="Times New Roman" w:hAnsi="Times New Roman" w:cs="Times New Roman"/>
          <w:i/>
          <w:iCs/>
          <w:vertAlign w:val="subscript"/>
        </w:rPr>
        <w:t>ff</w:t>
      </w:r>
      <w:r>
        <w:rPr>
          <w:rFonts w:ascii="Times New Roman" w:hAnsi="Times New Roman" w:cs="Times New Roman"/>
        </w:rPr>
        <w:t xml:space="preserve"> +0.5 SD; 30%) and no other all-male flocks had epidemics where &lt;87% of the flock was infected. </w:t>
      </w:r>
    </w:p>
    <w:p w14:paraId="49FD1151" w14:textId="77777777" w:rsidR="00FE2A33" w:rsidRDefault="00FE2A33" w:rsidP="00FE2A33">
      <w:pPr>
        <w:spacing w:line="480" w:lineRule="auto"/>
        <w:rPr>
          <w:rFonts w:ascii="Times New Roman" w:hAnsi="Times New Roman" w:cs="Times New Roman"/>
          <w:b/>
        </w:rPr>
      </w:pPr>
      <w:r w:rsidRPr="00553F82">
        <w:rPr>
          <w:rFonts w:ascii="Times New Roman" w:hAnsi="Times New Roman" w:cs="Times New Roman"/>
          <w:b/>
        </w:rPr>
        <w:t>Results</w:t>
      </w:r>
    </w:p>
    <w:p w14:paraId="0C8E2FAA" w14:textId="77777777" w:rsidR="00FE2A33" w:rsidRDefault="00FE2A33" w:rsidP="00FE2A33">
      <w:pPr>
        <w:spacing w:line="480" w:lineRule="auto"/>
        <w:rPr>
          <w:rFonts w:ascii="Times New Roman" w:hAnsi="Times New Roman" w:cs="Times New Roman"/>
        </w:rPr>
      </w:pPr>
      <w:r w:rsidRPr="00FB0D1F">
        <w:rPr>
          <w:rFonts w:ascii="Times New Roman" w:hAnsi="Times New Roman" w:cs="Times New Roman"/>
          <w:i/>
          <w:iCs/>
        </w:rPr>
        <w:t>Experimental results</w:t>
      </w:r>
      <w:r>
        <w:rPr>
          <w:rFonts w:ascii="Times New Roman" w:hAnsi="Times New Roman" w:cs="Times New Roman"/>
        </w:rPr>
        <w:t xml:space="preserve"> - MG-exposed male canaries had higher total eye scores (</w:t>
      </w:r>
      <w:r w:rsidRPr="00265476">
        <w:rPr>
          <w:rFonts w:ascii="Times New Roman" w:hAnsi="Times New Roman" w:cs="Times New Roman"/>
          <w:i/>
          <w:iCs/>
        </w:rPr>
        <w:t>β</w:t>
      </w:r>
      <w:r>
        <w:rPr>
          <w:rFonts w:ascii="Times New Roman" w:hAnsi="Times New Roman" w:cs="Times New Roman"/>
          <w:i/>
          <w:iCs/>
        </w:rPr>
        <w:t>(male)</w:t>
      </w:r>
      <w:r>
        <w:rPr>
          <w:rFonts w:ascii="Times New Roman" w:hAnsi="Times New Roman" w:cs="Times New Roman"/>
        </w:rPr>
        <w:t xml:space="preserve">=1.85 </w:t>
      </w:r>
      <w:r>
        <w:rPr>
          <w:rFonts w:ascii="Times New Roman" w:hAnsi="Times New Roman" w:cs="Times New Roman"/>
        </w:rPr>
        <w:sym w:font="Symbol" w:char="F0B1"/>
      </w:r>
      <w:r>
        <w:rPr>
          <w:rFonts w:ascii="Times New Roman" w:hAnsi="Times New Roman" w:cs="Times New Roman"/>
        </w:rPr>
        <w:t xml:space="preserve"> 0.22 SE, </w:t>
      </w:r>
      <w:r w:rsidRPr="00265476">
        <w:rPr>
          <w:rFonts w:ascii="Times New Roman" w:hAnsi="Times New Roman" w:cs="Times New Roman"/>
          <w:i/>
          <w:iCs/>
        </w:rPr>
        <w:t>t</w:t>
      </w:r>
      <w:r>
        <w:rPr>
          <w:rFonts w:ascii="Times New Roman" w:hAnsi="Times New Roman" w:cs="Times New Roman"/>
        </w:rPr>
        <w:t xml:space="preserve">=8.49, </w:t>
      </w:r>
      <w:r w:rsidRPr="00265476">
        <w:rPr>
          <w:rFonts w:ascii="Times New Roman" w:hAnsi="Times New Roman" w:cs="Times New Roman"/>
          <w:i/>
          <w:iCs/>
        </w:rPr>
        <w:t>p</w:t>
      </w:r>
      <w:r>
        <w:rPr>
          <w:rFonts w:ascii="Times New Roman" w:hAnsi="Times New Roman" w:cs="Times New Roman"/>
        </w:rPr>
        <w:t>&lt;0.001; Figure 2A &amp; Table S2) and pathogen loads (</w:t>
      </w:r>
      <w:r w:rsidRPr="00265476">
        <w:rPr>
          <w:rFonts w:ascii="Times New Roman" w:hAnsi="Times New Roman" w:cs="Times New Roman"/>
          <w:i/>
          <w:iCs/>
        </w:rPr>
        <w:t>β</w:t>
      </w:r>
      <w:r>
        <w:rPr>
          <w:rFonts w:ascii="Times New Roman" w:hAnsi="Times New Roman" w:cs="Times New Roman"/>
          <w:i/>
          <w:iCs/>
        </w:rPr>
        <w:t xml:space="preserve">(male) </w:t>
      </w:r>
      <w:r>
        <w:rPr>
          <w:rFonts w:ascii="Times New Roman" w:hAnsi="Times New Roman" w:cs="Times New Roman"/>
        </w:rPr>
        <w:t xml:space="preserve">=1.34 </w:t>
      </w:r>
      <w:r>
        <w:rPr>
          <w:rFonts w:ascii="Times New Roman" w:hAnsi="Times New Roman" w:cs="Times New Roman"/>
        </w:rPr>
        <w:sym w:font="Symbol" w:char="F0B1"/>
      </w:r>
      <w:r>
        <w:rPr>
          <w:rFonts w:ascii="Times New Roman" w:hAnsi="Times New Roman" w:cs="Times New Roman"/>
        </w:rPr>
        <w:t xml:space="preserve"> 2.04 SE, χ</w:t>
      </w:r>
      <w:r w:rsidRPr="003C4B97">
        <w:rPr>
          <w:rFonts w:ascii="Times New Roman" w:hAnsi="Times New Roman" w:cs="Times New Roman"/>
          <w:vertAlign w:val="superscript"/>
        </w:rPr>
        <w:t>2</w:t>
      </w:r>
      <w:r>
        <w:rPr>
          <w:rFonts w:ascii="Times New Roman" w:hAnsi="Times New Roman" w:cs="Times New Roman"/>
        </w:rPr>
        <w:t xml:space="preserve">=3.68, </w:t>
      </w:r>
      <w:proofErr w:type="spellStart"/>
      <w:r w:rsidRPr="00C84925">
        <w:rPr>
          <w:rFonts w:ascii="Times New Roman" w:hAnsi="Times New Roman" w:cs="Times New Roman"/>
          <w:i/>
          <w:iCs/>
        </w:rPr>
        <w:t>df</w:t>
      </w:r>
      <w:proofErr w:type="spellEnd"/>
      <w:r>
        <w:rPr>
          <w:rFonts w:ascii="Times New Roman" w:hAnsi="Times New Roman" w:cs="Times New Roman"/>
        </w:rPr>
        <w:t xml:space="preserve">=1, </w:t>
      </w:r>
      <w:r w:rsidRPr="00C84925">
        <w:rPr>
          <w:rFonts w:ascii="Times New Roman" w:hAnsi="Times New Roman" w:cs="Times New Roman"/>
          <w:i/>
          <w:iCs/>
        </w:rPr>
        <w:t>p</w:t>
      </w:r>
      <w:r>
        <w:rPr>
          <w:rFonts w:ascii="Times New Roman" w:hAnsi="Times New Roman" w:cs="Times New Roman"/>
        </w:rPr>
        <w:t xml:space="preserve">=0.06; Figure 2B &amp; Table S3) than MG-exposed females. In general, females and control birds maintained slightly higher body fat over time (sex*day: </w:t>
      </w:r>
      <w:r w:rsidRPr="00265476">
        <w:rPr>
          <w:rFonts w:ascii="Times New Roman" w:hAnsi="Times New Roman" w:cs="Times New Roman"/>
          <w:i/>
          <w:iCs/>
        </w:rPr>
        <w:t>β</w:t>
      </w:r>
      <w:r>
        <w:rPr>
          <w:rFonts w:ascii="Times New Roman" w:hAnsi="Times New Roman" w:cs="Times New Roman"/>
          <w:i/>
          <w:iCs/>
        </w:rPr>
        <w:t xml:space="preserve">(male) </w:t>
      </w:r>
      <w:r>
        <w:rPr>
          <w:rFonts w:ascii="Times New Roman" w:hAnsi="Times New Roman" w:cs="Times New Roman"/>
        </w:rPr>
        <w:t xml:space="preserve">=0.02 </w:t>
      </w:r>
      <w:r>
        <w:rPr>
          <w:rFonts w:ascii="Times New Roman" w:hAnsi="Times New Roman" w:cs="Times New Roman"/>
        </w:rPr>
        <w:sym w:font="Symbol" w:char="F0B1"/>
      </w:r>
      <w:r>
        <w:rPr>
          <w:rFonts w:ascii="Times New Roman" w:hAnsi="Times New Roman" w:cs="Times New Roman"/>
        </w:rPr>
        <w:t xml:space="preserve"> 0.01 SE, χ</w:t>
      </w:r>
      <w:r w:rsidRPr="003C4B97">
        <w:rPr>
          <w:rFonts w:ascii="Times New Roman" w:hAnsi="Times New Roman" w:cs="Times New Roman"/>
          <w:vertAlign w:val="superscript"/>
        </w:rPr>
        <w:t>2</w:t>
      </w:r>
      <w:r>
        <w:rPr>
          <w:rFonts w:ascii="Times New Roman" w:hAnsi="Times New Roman" w:cs="Times New Roman"/>
        </w:rPr>
        <w:t xml:space="preserve">=7.48, </w:t>
      </w:r>
      <w:proofErr w:type="spellStart"/>
      <w:r w:rsidRPr="00C84925">
        <w:rPr>
          <w:rFonts w:ascii="Times New Roman" w:hAnsi="Times New Roman" w:cs="Times New Roman"/>
          <w:i/>
          <w:iCs/>
        </w:rPr>
        <w:t>df</w:t>
      </w:r>
      <w:proofErr w:type="spellEnd"/>
      <w:r>
        <w:rPr>
          <w:rFonts w:ascii="Times New Roman" w:hAnsi="Times New Roman" w:cs="Times New Roman"/>
        </w:rPr>
        <w:t xml:space="preserve">=1, </w:t>
      </w:r>
      <w:r w:rsidRPr="00C84925">
        <w:rPr>
          <w:rFonts w:ascii="Times New Roman" w:hAnsi="Times New Roman" w:cs="Times New Roman"/>
          <w:i/>
          <w:iCs/>
        </w:rPr>
        <w:t>p</w:t>
      </w:r>
      <w:r>
        <w:rPr>
          <w:rFonts w:ascii="Times New Roman" w:hAnsi="Times New Roman" w:cs="Times New Roman"/>
        </w:rPr>
        <w:t xml:space="preserve">&lt;0.01; MG-exposure*day: </w:t>
      </w:r>
      <w:r w:rsidRPr="00265476">
        <w:rPr>
          <w:rFonts w:ascii="Times New Roman" w:hAnsi="Times New Roman" w:cs="Times New Roman"/>
          <w:i/>
          <w:iCs/>
        </w:rPr>
        <w:t>β</w:t>
      </w:r>
      <w:r>
        <w:rPr>
          <w:rFonts w:ascii="Times New Roman" w:hAnsi="Times New Roman" w:cs="Times New Roman"/>
          <w:i/>
          <w:iCs/>
        </w:rPr>
        <w:t xml:space="preserve">(mg) </w:t>
      </w:r>
      <w:r>
        <w:rPr>
          <w:rFonts w:ascii="Times New Roman" w:hAnsi="Times New Roman" w:cs="Times New Roman"/>
        </w:rPr>
        <w:t xml:space="preserve">=-0.01 </w:t>
      </w:r>
      <w:r>
        <w:rPr>
          <w:rFonts w:ascii="Times New Roman" w:hAnsi="Times New Roman" w:cs="Times New Roman"/>
        </w:rPr>
        <w:sym w:font="Symbol" w:char="F0B1"/>
      </w:r>
      <w:r>
        <w:rPr>
          <w:rFonts w:ascii="Times New Roman" w:hAnsi="Times New Roman" w:cs="Times New Roman"/>
        </w:rPr>
        <w:t xml:space="preserve"> 0.01 SE, χ</w:t>
      </w:r>
      <w:r w:rsidRPr="003C4B97">
        <w:rPr>
          <w:rFonts w:ascii="Times New Roman" w:hAnsi="Times New Roman" w:cs="Times New Roman"/>
          <w:vertAlign w:val="superscript"/>
        </w:rPr>
        <w:t>2</w:t>
      </w:r>
      <w:r>
        <w:rPr>
          <w:rFonts w:ascii="Times New Roman" w:hAnsi="Times New Roman" w:cs="Times New Roman"/>
        </w:rPr>
        <w:t xml:space="preserve">=3.81, </w:t>
      </w:r>
      <w:proofErr w:type="spellStart"/>
      <w:r w:rsidRPr="00C84925">
        <w:rPr>
          <w:rFonts w:ascii="Times New Roman" w:hAnsi="Times New Roman" w:cs="Times New Roman"/>
          <w:i/>
          <w:iCs/>
        </w:rPr>
        <w:t>df</w:t>
      </w:r>
      <w:proofErr w:type="spellEnd"/>
      <w:r>
        <w:rPr>
          <w:rFonts w:ascii="Times New Roman" w:hAnsi="Times New Roman" w:cs="Times New Roman"/>
        </w:rPr>
        <w:t xml:space="preserve">=1, </w:t>
      </w:r>
      <w:r w:rsidRPr="00C84925">
        <w:rPr>
          <w:rFonts w:ascii="Times New Roman" w:hAnsi="Times New Roman" w:cs="Times New Roman"/>
          <w:i/>
          <w:iCs/>
        </w:rPr>
        <w:t>p</w:t>
      </w:r>
      <w:r>
        <w:rPr>
          <w:rFonts w:ascii="Times New Roman" w:hAnsi="Times New Roman" w:cs="Times New Roman"/>
        </w:rPr>
        <w:t xml:space="preserve">=0.05; Figure S1A &amp; Table S4) and had greater mass (main effect of sex: </w:t>
      </w:r>
      <w:r w:rsidRPr="00265476">
        <w:rPr>
          <w:rFonts w:ascii="Times New Roman" w:hAnsi="Times New Roman" w:cs="Times New Roman"/>
          <w:i/>
          <w:iCs/>
        </w:rPr>
        <w:t>β</w:t>
      </w:r>
      <w:r>
        <w:rPr>
          <w:rFonts w:ascii="Times New Roman" w:hAnsi="Times New Roman" w:cs="Times New Roman"/>
          <w:i/>
          <w:iCs/>
        </w:rPr>
        <w:t xml:space="preserve">(male) </w:t>
      </w:r>
      <w:r>
        <w:rPr>
          <w:rFonts w:ascii="Times New Roman" w:hAnsi="Times New Roman" w:cs="Times New Roman"/>
        </w:rPr>
        <w:t xml:space="preserve">=-5.09 </w:t>
      </w:r>
      <w:r>
        <w:rPr>
          <w:rFonts w:ascii="Times New Roman" w:hAnsi="Times New Roman" w:cs="Times New Roman"/>
        </w:rPr>
        <w:sym w:font="Symbol" w:char="F0B1"/>
      </w:r>
      <w:r>
        <w:rPr>
          <w:rFonts w:ascii="Times New Roman" w:hAnsi="Times New Roman" w:cs="Times New Roman"/>
        </w:rPr>
        <w:t xml:space="preserve"> 2.23 SE, χ</w:t>
      </w:r>
      <w:r w:rsidRPr="003C4B97">
        <w:rPr>
          <w:rFonts w:ascii="Times New Roman" w:hAnsi="Times New Roman" w:cs="Times New Roman"/>
          <w:vertAlign w:val="superscript"/>
        </w:rPr>
        <w:t>2</w:t>
      </w:r>
      <w:r>
        <w:rPr>
          <w:rFonts w:ascii="Times New Roman" w:hAnsi="Times New Roman" w:cs="Times New Roman"/>
        </w:rPr>
        <w:t xml:space="preserve">=3.81, </w:t>
      </w:r>
      <w:proofErr w:type="spellStart"/>
      <w:r w:rsidRPr="00C84925">
        <w:rPr>
          <w:rFonts w:ascii="Times New Roman" w:hAnsi="Times New Roman" w:cs="Times New Roman"/>
          <w:i/>
          <w:iCs/>
        </w:rPr>
        <w:t>df</w:t>
      </w:r>
      <w:proofErr w:type="spellEnd"/>
      <w:r>
        <w:rPr>
          <w:rFonts w:ascii="Times New Roman" w:hAnsi="Times New Roman" w:cs="Times New Roman"/>
        </w:rPr>
        <w:t xml:space="preserve">=1, </w:t>
      </w:r>
      <w:r w:rsidRPr="00C84925">
        <w:rPr>
          <w:rFonts w:ascii="Times New Roman" w:hAnsi="Times New Roman" w:cs="Times New Roman"/>
          <w:i/>
          <w:iCs/>
        </w:rPr>
        <w:t>p</w:t>
      </w:r>
      <w:r w:rsidRPr="00916038">
        <w:rPr>
          <w:rFonts w:ascii="Times New Roman" w:hAnsi="Times New Roman" w:cs="Times New Roman"/>
        </w:rPr>
        <w:t>=</w:t>
      </w:r>
      <w:r>
        <w:rPr>
          <w:rFonts w:ascii="Times New Roman" w:hAnsi="Times New Roman" w:cs="Times New Roman"/>
        </w:rPr>
        <w:t xml:space="preserve">0.05; main effect of MG-exposure: </w:t>
      </w:r>
      <w:r w:rsidRPr="00265476">
        <w:rPr>
          <w:rFonts w:ascii="Times New Roman" w:hAnsi="Times New Roman" w:cs="Times New Roman"/>
          <w:i/>
          <w:iCs/>
        </w:rPr>
        <w:t>β</w:t>
      </w:r>
      <w:r>
        <w:rPr>
          <w:rFonts w:ascii="Times New Roman" w:hAnsi="Times New Roman" w:cs="Times New Roman"/>
          <w:i/>
          <w:iCs/>
        </w:rPr>
        <w:t xml:space="preserve">(mg) </w:t>
      </w:r>
      <w:r>
        <w:rPr>
          <w:rFonts w:ascii="Times New Roman" w:hAnsi="Times New Roman" w:cs="Times New Roman"/>
        </w:rPr>
        <w:t xml:space="preserve">=-4.57 </w:t>
      </w:r>
      <w:r>
        <w:rPr>
          <w:rFonts w:ascii="Times New Roman" w:hAnsi="Times New Roman" w:cs="Times New Roman"/>
        </w:rPr>
        <w:sym w:font="Symbol" w:char="F0B1"/>
      </w:r>
      <w:r>
        <w:rPr>
          <w:rFonts w:ascii="Times New Roman" w:hAnsi="Times New Roman" w:cs="Times New Roman"/>
        </w:rPr>
        <w:t xml:space="preserve"> 2.35 SE, χ</w:t>
      </w:r>
      <w:r w:rsidRPr="003C4B97">
        <w:rPr>
          <w:rFonts w:ascii="Times New Roman" w:hAnsi="Times New Roman" w:cs="Times New Roman"/>
          <w:vertAlign w:val="superscript"/>
        </w:rPr>
        <w:t>2</w:t>
      </w:r>
      <w:r>
        <w:rPr>
          <w:rFonts w:ascii="Times New Roman" w:hAnsi="Times New Roman" w:cs="Times New Roman"/>
        </w:rPr>
        <w:t xml:space="preserve">=4.04, </w:t>
      </w:r>
      <w:proofErr w:type="spellStart"/>
      <w:r w:rsidRPr="00C84925">
        <w:rPr>
          <w:rFonts w:ascii="Times New Roman" w:hAnsi="Times New Roman" w:cs="Times New Roman"/>
          <w:i/>
          <w:iCs/>
        </w:rPr>
        <w:t>df</w:t>
      </w:r>
      <w:proofErr w:type="spellEnd"/>
      <w:r>
        <w:rPr>
          <w:rFonts w:ascii="Times New Roman" w:hAnsi="Times New Roman" w:cs="Times New Roman"/>
        </w:rPr>
        <w:t xml:space="preserve">=1, </w:t>
      </w:r>
      <w:r w:rsidRPr="00C84925">
        <w:rPr>
          <w:rFonts w:ascii="Times New Roman" w:hAnsi="Times New Roman" w:cs="Times New Roman"/>
          <w:i/>
          <w:iCs/>
        </w:rPr>
        <w:t>p</w:t>
      </w:r>
      <w:r w:rsidRPr="00916038">
        <w:rPr>
          <w:rFonts w:ascii="Times New Roman" w:hAnsi="Times New Roman" w:cs="Times New Roman"/>
        </w:rPr>
        <w:t>=</w:t>
      </w:r>
      <w:r>
        <w:rPr>
          <w:rFonts w:ascii="Times New Roman" w:hAnsi="Times New Roman" w:cs="Times New Roman"/>
        </w:rPr>
        <w:t xml:space="preserve">0.04; Figure S1B &amp; Table S5). However, there was no interactive effect of sex and treatment or sex, treatment, and time on body fat or mass. MG-exposed males produced more MG-specific antibodies over time than females </w:t>
      </w:r>
      <w:bookmarkStart w:id="4" w:name="_Hlk109815220"/>
      <w:r>
        <w:rPr>
          <w:rFonts w:ascii="Times New Roman" w:hAnsi="Times New Roman" w:cs="Times New Roman"/>
        </w:rPr>
        <w:t xml:space="preserve">(sex*day: </w:t>
      </w:r>
      <w:r w:rsidRPr="00265476">
        <w:rPr>
          <w:rFonts w:ascii="Times New Roman" w:hAnsi="Times New Roman" w:cs="Times New Roman"/>
          <w:i/>
          <w:iCs/>
        </w:rPr>
        <w:t>β</w:t>
      </w:r>
      <w:r>
        <w:rPr>
          <w:rFonts w:ascii="Times New Roman" w:hAnsi="Times New Roman" w:cs="Times New Roman"/>
          <w:i/>
          <w:iCs/>
        </w:rPr>
        <w:t xml:space="preserve">(male) </w:t>
      </w:r>
      <w:r>
        <w:rPr>
          <w:rFonts w:ascii="Times New Roman" w:hAnsi="Times New Roman" w:cs="Times New Roman"/>
        </w:rPr>
        <w:t xml:space="preserve">=0.003 </w:t>
      </w:r>
      <w:r>
        <w:rPr>
          <w:rFonts w:ascii="Times New Roman" w:hAnsi="Times New Roman" w:cs="Times New Roman"/>
        </w:rPr>
        <w:sym w:font="Symbol" w:char="F0B1"/>
      </w:r>
      <w:r>
        <w:rPr>
          <w:rFonts w:ascii="Times New Roman" w:hAnsi="Times New Roman" w:cs="Times New Roman"/>
        </w:rPr>
        <w:t xml:space="preserve"> 0.001 SE, χ</w:t>
      </w:r>
      <w:r w:rsidRPr="003C4B97">
        <w:rPr>
          <w:rFonts w:ascii="Times New Roman" w:hAnsi="Times New Roman" w:cs="Times New Roman"/>
          <w:vertAlign w:val="superscript"/>
        </w:rPr>
        <w:t>2</w:t>
      </w:r>
      <w:r>
        <w:rPr>
          <w:rFonts w:ascii="Times New Roman" w:hAnsi="Times New Roman" w:cs="Times New Roman"/>
        </w:rPr>
        <w:t xml:space="preserve">=8.36, </w:t>
      </w:r>
      <w:proofErr w:type="spellStart"/>
      <w:r w:rsidRPr="00C84925">
        <w:rPr>
          <w:rFonts w:ascii="Times New Roman" w:hAnsi="Times New Roman" w:cs="Times New Roman"/>
          <w:i/>
          <w:iCs/>
        </w:rPr>
        <w:t>df</w:t>
      </w:r>
      <w:proofErr w:type="spellEnd"/>
      <w:r>
        <w:rPr>
          <w:rFonts w:ascii="Times New Roman" w:hAnsi="Times New Roman" w:cs="Times New Roman"/>
        </w:rPr>
        <w:t xml:space="preserve">=1, </w:t>
      </w:r>
      <w:r w:rsidRPr="00C84925">
        <w:rPr>
          <w:rFonts w:ascii="Times New Roman" w:hAnsi="Times New Roman" w:cs="Times New Roman"/>
          <w:i/>
          <w:iCs/>
        </w:rPr>
        <w:t>p</w:t>
      </w:r>
      <w:r>
        <w:rPr>
          <w:rFonts w:ascii="Times New Roman" w:hAnsi="Times New Roman" w:cs="Times New Roman"/>
        </w:rPr>
        <w:t>&lt;0.01</w:t>
      </w:r>
      <w:bookmarkEnd w:id="4"/>
      <w:r>
        <w:rPr>
          <w:rFonts w:ascii="Times New Roman" w:hAnsi="Times New Roman" w:cs="Times New Roman"/>
        </w:rPr>
        <w:t xml:space="preserve">; Figure 2C &amp; Table S6). Further, there was a significant interaction between sex and MG-exposure on the change in relative abundance of monocytes after exposure resulting in MG-exposed males having a greater increase in monocyte relative abundance than all other groups (sex*treatment: </w:t>
      </w:r>
      <w:r w:rsidRPr="00D93752">
        <w:rPr>
          <w:rFonts w:ascii="Times New Roman" w:hAnsi="Times New Roman" w:cs="Times New Roman"/>
          <w:i/>
          <w:iCs/>
        </w:rPr>
        <w:t>SS</w:t>
      </w:r>
      <w:r>
        <w:rPr>
          <w:rFonts w:ascii="Times New Roman" w:hAnsi="Times New Roman" w:cs="Times New Roman"/>
        </w:rPr>
        <w:t xml:space="preserve">=78.67, </w:t>
      </w:r>
      <w:r w:rsidRPr="00D93752">
        <w:rPr>
          <w:rFonts w:ascii="Times New Roman" w:hAnsi="Times New Roman" w:cs="Times New Roman"/>
          <w:i/>
          <w:iCs/>
        </w:rPr>
        <w:t>F</w:t>
      </w:r>
      <w:r w:rsidRPr="00D93752">
        <w:rPr>
          <w:rFonts w:ascii="Times New Roman" w:hAnsi="Times New Roman" w:cs="Times New Roman"/>
          <w:i/>
          <w:iCs/>
          <w:vertAlign w:val="subscript"/>
        </w:rPr>
        <w:t>1,</w:t>
      </w:r>
      <w:r>
        <w:rPr>
          <w:rFonts w:ascii="Times New Roman" w:hAnsi="Times New Roman" w:cs="Times New Roman"/>
          <w:i/>
          <w:iCs/>
          <w:vertAlign w:val="subscript"/>
        </w:rPr>
        <w:t>17</w:t>
      </w:r>
      <w:r>
        <w:rPr>
          <w:rFonts w:ascii="Times New Roman" w:hAnsi="Times New Roman" w:cs="Times New Roman"/>
        </w:rPr>
        <w:t xml:space="preserve">=6.91, </w:t>
      </w:r>
      <w:r w:rsidRPr="00D93752">
        <w:rPr>
          <w:rFonts w:ascii="Times New Roman" w:hAnsi="Times New Roman" w:cs="Times New Roman"/>
          <w:i/>
          <w:iCs/>
        </w:rPr>
        <w:t>p</w:t>
      </w:r>
      <w:r>
        <w:rPr>
          <w:rFonts w:ascii="Times New Roman" w:hAnsi="Times New Roman" w:cs="Times New Roman"/>
        </w:rPr>
        <w:t xml:space="preserve">=0.02; Figure S2 &amp; Table S7). Finally, male canaries generally had higher hematocrit levels and a greater increase in the relative abundance of eosinophils regardless of exposure status (sex: </w:t>
      </w:r>
      <w:r w:rsidRPr="00265476">
        <w:rPr>
          <w:rFonts w:ascii="Times New Roman" w:hAnsi="Times New Roman" w:cs="Times New Roman"/>
          <w:i/>
          <w:iCs/>
        </w:rPr>
        <w:t>β</w:t>
      </w:r>
      <w:r>
        <w:rPr>
          <w:rFonts w:ascii="Times New Roman" w:hAnsi="Times New Roman" w:cs="Times New Roman"/>
          <w:i/>
          <w:iCs/>
        </w:rPr>
        <w:t xml:space="preserve">(male) </w:t>
      </w:r>
      <w:r>
        <w:rPr>
          <w:rFonts w:ascii="Times New Roman" w:hAnsi="Times New Roman" w:cs="Times New Roman"/>
        </w:rPr>
        <w:t xml:space="preserve">=4.87 </w:t>
      </w:r>
      <w:r>
        <w:rPr>
          <w:rFonts w:ascii="Times New Roman" w:hAnsi="Times New Roman" w:cs="Times New Roman"/>
        </w:rPr>
        <w:sym w:font="Symbol" w:char="F0B1"/>
      </w:r>
      <w:r>
        <w:rPr>
          <w:rFonts w:ascii="Times New Roman" w:hAnsi="Times New Roman" w:cs="Times New Roman"/>
        </w:rPr>
        <w:t xml:space="preserve"> 2.22 SE, χ</w:t>
      </w:r>
      <w:r w:rsidRPr="003C4B97">
        <w:rPr>
          <w:rFonts w:ascii="Times New Roman" w:hAnsi="Times New Roman" w:cs="Times New Roman"/>
          <w:vertAlign w:val="superscript"/>
        </w:rPr>
        <w:t>2</w:t>
      </w:r>
      <w:r>
        <w:rPr>
          <w:rFonts w:ascii="Times New Roman" w:hAnsi="Times New Roman" w:cs="Times New Roman"/>
        </w:rPr>
        <w:t xml:space="preserve">=14.71, </w:t>
      </w:r>
      <w:proofErr w:type="spellStart"/>
      <w:r w:rsidRPr="00C84925">
        <w:rPr>
          <w:rFonts w:ascii="Times New Roman" w:hAnsi="Times New Roman" w:cs="Times New Roman"/>
          <w:i/>
          <w:iCs/>
        </w:rPr>
        <w:t>df</w:t>
      </w:r>
      <w:proofErr w:type="spellEnd"/>
      <w:r>
        <w:rPr>
          <w:rFonts w:ascii="Times New Roman" w:hAnsi="Times New Roman" w:cs="Times New Roman"/>
        </w:rPr>
        <w:t xml:space="preserve">=1, </w:t>
      </w:r>
      <w:r w:rsidRPr="00C84925">
        <w:rPr>
          <w:rFonts w:ascii="Times New Roman" w:hAnsi="Times New Roman" w:cs="Times New Roman"/>
          <w:i/>
          <w:iCs/>
        </w:rPr>
        <w:t>p</w:t>
      </w:r>
      <w:r>
        <w:rPr>
          <w:rFonts w:ascii="Times New Roman" w:hAnsi="Times New Roman" w:cs="Times New Roman"/>
        </w:rPr>
        <w:t xml:space="preserve">&lt;0.001; </w:t>
      </w:r>
      <w:r w:rsidRPr="00D93752">
        <w:rPr>
          <w:rFonts w:ascii="Times New Roman" w:hAnsi="Times New Roman" w:cs="Times New Roman"/>
          <w:i/>
          <w:iCs/>
        </w:rPr>
        <w:t>SS</w:t>
      </w:r>
      <w:r>
        <w:rPr>
          <w:rFonts w:ascii="Times New Roman" w:hAnsi="Times New Roman" w:cs="Times New Roman"/>
        </w:rPr>
        <w:t xml:space="preserve">=284.73, </w:t>
      </w:r>
      <w:r w:rsidRPr="00D93752">
        <w:rPr>
          <w:rFonts w:ascii="Times New Roman" w:hAnsi="Times New Roman" w:cs="Times New Roman"/>
          <w:i/>
          <w:iCs/>
        </w:rPr>
        <w:t>F</w:t>
      </w:r>
      <w:r w:rsidRPr="00D93752">
        <w:rPr>
          <w:rFonts w:ascii="Times New Roman" w:hAnsi="Times New Roman" w:cs="Times New Roman"/>
          <w:i/>
          <w:iCs/>
          <w:vertAlign w:val="subscript"/>
        </w:rPr>
        <w:t>1,</w:t>
      </w:r>
      <w:r>
        <w:rPr>
          <w:rFonts w:ascii="Times New Roman" w:hAnsi="Times New Roman" w:cs="Times New Roman"/>
          <w:i/>
          <w:iCs/>
          <w:vertAlign w:val="subscript"/>
        </w:rPr>
        <w:t>17</w:t>
      </w:r>
      <w:r>
        <w:rPr>
          <w:rFonts w:ascii="Times New Roman" w:hAnsi="Times New Roman" w:cs="Times New Roman"/>
        </w:rPr>
        <w:t xml:space="preserve">=6.13, </w:t>
      </w:r>
      <w:r w:rsidRPr="00D93752">
        <w:rPr>
          <w:rFonts w:ascii="Times New Roman" w:hAnsi="Times New Roman" w:cs="Times New Roman"/>
          <w:i/>
          <w:iCs/>
        </w:rPr>
        <w:t>p</w:t>
      </w:r>
      <w:r>
        <w:rPr>
          <w:rFonts w:ascii="Times New Roman" w:hAnsi="Times New Roman" w:cs="Times New Roman"/>
        </w:rPr>
        <w:t>=0.02; Figure S3 &amp; Tables S7 &amp; S8). In contrast, relative abundance of eosinophils prior to exposure were higher in females than in males (</w:t>
      </w:r>
      <w:r w:rsidRPr="00A976FB">
        <w:rPr>
          <w:rFonts w:ascii="Times New Roman" w:hAnsi="Times New Roman" w:cs="Times New Roman"/>
          <w:i/>
          <w:iCs/>
        </w:rPr>
        <w:t>SS</w:t>
      </w:r>
      <w:r>
        <w:rPr>
          <w:rFonts w:ascii="Times New Roman" w:hAnsi="Times New Roman" w:cs="Times New Roman"/>
        </w:rPr>
        <w:t xml:space="preserve">=291.37, </w:t>
      </w:r>
      <w:r w:rsidRPr="00A976FB">
        <w:rPr>
          <w:rFonts w:ascii="Times New Roman" w:hAnsi="Times New Roman" w:cs="Times New Roman"/>
          <w:i/>
          <w:iCs/>
        </w:rPr>
        <w:t>F</w:t>
      </w:r>
      <w:r w:rsidRPr="00A976FB">
        <w:rPr>
          <w:rFonts w:ascii="Times New Roman" w:hAnsi="Times New Roman" w:cs="Times New Roman"/>
          <w:i/>
          <w:iCs/>
          <w:vertAlign w:val="subscript"/>
        </w:rPr>
        <w:t>1,20</w:t>
      </w:r>
      <w:r>
        <w:rPr>
          <w:rFonts w:ascii="Times New Roman" w:hAnsi="Times New Roman" w:cs="Times New Roman"/>
        </w:rPr>
        <w:t xml:space="preserve">=3.21, </w:t>
      </w:r>
      <w:r w:rsidRPr="00C84925">
        <w:rPr>
          <w:rFonts w:ascii="Times New Roman" w:hAnsi="Times New Roman" w:cs="Times New Roman"/>
          <w:i/>
          <w:iCs/>
        </w:rPr>
        <w:t>p</w:t>
      </w:r>
      <w:r>
        <w:rPr>
          <w:rFonts w:ascii="Times New Roman" w:hAnsi="Times New Roman" w:cs="Times New Roman"/>
        </w:rPr>
        <w:t xml:space="preserve">&lt;0.01; Table S9). </w:t>
      </w:r>
    </w:p>
    <w:p w14:paraId="45C73B10" w14:textId="0C48342E" w:rsidR="00FE2A33" w:rsidRDefault="00FE2A33" w:rsidP="00FE2A33">
      <w:pPr>
        <w:spacing w:line="480" w:lineRule="auto"/>
        <w:rPr>
          <w:rFonts w:ascii="Times New Roman" w:hAnsi="Times New Roman" w:cs="Times New Roman"/>
        </w:rPr>
      </w:pPr>
      <w:r w:rsidRPr="00FB0D1F">
        <w:rPr>
          <w:rFonts w:ascii="Times New Roman" w:hAnsi="Times New Roman" w:cs="Times New Roman"/>
          <w:i/>
          <w:iCs/>
        </w:rPr>
        <w:lastRenderedPageBreak/>
        <w:t>SEIR model results</w:t>
      </w:r>
      <w:r>
        <w:rPr>
          <w:rFonts w:ascii="Times New Roman" w:hAnsi="Times New Roman" w:cs="Times New Roman"/>
        </w:rPr>
        <w:t xml:space="preserve"> – Epidemic size drastically increased with the proportion of the population that is male (Figure 3). The male-only population experienced a large and rapid epidemic, with </w:t>
      </w:r>
      <w:r w:rsidR="00B570B0">
        <w:rPr>
          <w:rFonts w:ascii="Times New Roman" w:hAnsi="Times New Roman" w:cs="Times New Roman"/>
        </w:rPr>
        <w:t>99% of</w:t>
      </w:r>
      <w:r>
        <w:rPr>
          <w:rFonts w:ascii="Times New Roman" w:hAnsi="Times New Roman" w:cs="Times New Roman"/>
        </w:rPr>
        <w:t xml:space="preserve"> individuals becoming exposed within </w:t>
      </w:r>
      <w:r w:rsidR="00B570B0">
        <w:rPr>
          <w:rFonts w:ascii="Times New Roman" w:hAnsi="Times New Roman" w:cs="Times New Roman"/>
        </w:rPr>
        <w:t>60</w:t>
      </w:r>
      <w:r w:rsidR="008468F1">
        <w:rPr>
          <w:rFonts w:ascii="Times New Roman" w:hAnsi="Times New Roman" w:cs="Times New Roman"/>
        </w:rPr>
        <w:t xml:space="preserve"> </w:t>
      </w:r>
      <w:r>
        <w:rPr>
          <w:rFonts w:ascii="Times New Roman" w:hAnsi="Times New Roman" w:cs="Times New Roman"/>
        </w:rPr>
        <w:t xml:space="preserve">days </w:t>
      </w:r>
      <w:r w:rsidR="00206123">
        <w:rPr>
          <w:rFonts w:ascii="Times New Roman" w:hAnsi="Times New Roman" w:cs="Times New Roman"/>
        </w:rPr>
        <w:t>(</w:t>
      </w:r>
      <w:proofErr w:type="gramStart"/>
      <w:r w:rsidR="00206123">
        <w:rPr>
          <w:rFonts w:ascii="Times New Roman" w:hAnsi="Times New Roman" w:cs="Times New Roman"/>
        </w:rPr>
        <w:t>i.e.</w:t>
      </w:r>
      <w:proofErr w:type="gramEnd"/>
      <w:r w:rsidR="00206123">
        <w:rPr>
          <w:rFonts w:ascii="Times New Roman" w:hAnsi="Times New Roman" w:cs="Times New Roman"/>
        </w:rPr>
        <w:t xml:space="preserve"> sum of individuals in the EIRM classes) </w:t>
      </w:r>
      <w:r>
        <w:rPr>
          <w:rFonts w:ascii="Times New Roman" w:hAnsi="Times New Roman" w:cs="Times New Roman"/>
        </w:rPr>
        <w:t xml:space="preserve">and </w:t>
      </w:r>
      <w:r w:rsidR="008468F1">
        <w:rPr>
          <w:rFonts w:ascii="Times New Roman" w:hAnsi="Times New Roman" w:cs="Times New Roman"/>
        </w:rPr>
        <w:t>100</w:t>
      </w:r>
      <w:r>
        <w:rPr>
          <w:rFonts w:ascii="Times New Roman" w:hAnsi="Times New Roman" w:cs="Times New Roman"/>
        </w:rPr>
        <w:t>% of individuals becoming infected during the epidemic (</w:t>
      </w:r>
      <w:r w:rsidR="00206123">
        <w:rPr>
          <w:rFonts w:ascii="Times New Roman" w:hAnsi="Times New Roman" w:cs="Times New Roman"/>
        </w:rPr>
        <w:t xml:space="preserve">i.e. sum of individuals in the IRM classes at the end of the simulation;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206123">
        <w:rPr>
          <w:rFonts w:ascii="Times New Roman" w:hAnsi="Times New Roman" w:cs="Times New Roman"/>
          <w:i/>
          <w:iCs/>
        </w:rPr>
        <w:t xml:space="preserve"> </w:t>
      </w:r>
      <w:r w:rsidR="00206123" w:rsidRPr="008468F1">
        <w:rPr>
          <w:rFonts w:ascii="Times New Roman" w:hAnsi="Times New Roman" w:cs="Times New Roman"/>
        </w:rPr>
        <w:t>=</w:t>
      </w:r>
      <w:r w:rsidR="00425410">
        <w:rPr>
          <w:rFonts w:ascii="Times New Roman" w:hAnsi="Times New Roman" w:cs="Times New Roman"/>
        </w:rPr>
        <w:t>7.04</w:t>
      </w:r>
      <w:r w:rsidR="00206123" w:rsidRPr="008468F1">
        <w:rPr>
          <w:rFonts w:ascii="Times New Roman" w:hAnsi="Times New Roman" w:cs="Times New Roman"/>
        </w:rPr>
        <w:t>;</w:t>
      </w:r>
      <w:r w:rsidR="00206123">
        <w:rPr>
          <w:rFonts w:ascii="Times New Roman" w:hAnsi="Times New Roman" w:cs="Times New Roman"/>
        </w:rPr>
        <w:t xml:space="preserve"> </w:t>
      </w:r>
      <w:r>
        <w:rPr>
          <w:rFonts w:ascii="Times New Roman" w:hAnsi="Times New Roman" w:cs="Times New Roman"/>
        </w:rPr>
        <w:t xml:space="preserve">Figure 3A). In contrast, the female-only population experienced a small outbreak that fizzled out, with </w:t>
      </w:r>
      <w:r w:rsidR="00425410">
        <w:rPr>
          <w:rFonts w:ascii="Times New Roman" w:hAnsi="Times New Roman" w:cs="Times New Roman"/>
        </w:rPr>
        <w:t>10</w:t>
      </w:r>
      <w:r>
        <w:rPr>
          <w:rFonts w:ascii="Times New Roman" w:hAnsi="Times New Roman" w:cs="Times New Roman"/>
        </w:rPr>
        <w:t xml:space="preserve">% of individuals becoming infected </w:t>
      </w:r>
      <w:r w:rsidR="008468F1">
        <w:rPr>
          <w:rFonts w:ascii="Times New Roman" w:hAnsi="Times New Roman" w:cs="Times New Roman"/>
        </w:rPr>
        <w:t xml:space="preserve">in </w:t>
      </w:r>
      <w:r w:rsidR="00425410">
        <w:rPr>
          <w:rFonts w:ascii="Times New Roman" w:hAnsi="Times New Roman" w:cs="Times New Roman"/>
        </w:rPr>
        <w:t>60</w:t>
      </w:r>
      <w:r w:rsidR="008468F1">
        <w:rPr>
          <w:rFonts w:ascii="Times New Roman" w:hAnsi="Times New Roman" w:cs="Times New Roman"/>
        </w:rPr>
        <w:t xml:space="preserve"> days</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Pr>
          <w:rFonts w:ascii="Times New Roman" w:hAnsi="Times New Roman" w:cs="Times New Roman"/>
          <w:i/>
          <w:iCs/>
        </w:rPr>
        <w:t xml:space="preserve"> </w:t>
      </w:r>
      <w:r>
        <w:rPr>
          <w:rFonts w:ascii="Times New Roman" w:hAnsi="Times New Roman" w:cs="Times New Roman"/>
        </w:rPr>
        <w:t>=</w:t>
      </w:r>
      <w:r w:rsidRPr="00546C54">
        <w:t xml:space="preserve"> </w:t>
      </w:r>
      <w:r w:rsidR="00425410">
        <w:rPr>
          <w:rFonts w:ascii="Times New Roman" w:hAnsi="Times New Roman" w:cs="Times New Roman"/>
        </w:rPr>
        <w:t>1.51</w:t>
      </w:r>
      <w:r>
        <w:rPr>
          <w:rFonts w:ascii="Times New Roman" w:hAnsi="Times New Roman" w:cs="Times New Roman"/>
        </w:rPr>
        <w:t xml:space="preserve">; Figure 3E). However, shifting from an all-female population to a population where only 25% were male resulted in a </w:t>
      </w:r>
      <w:r w:rsidR="00380D1A">
        <w:rPr>
          <w:rFonts w:ascii="Times New Roman" w:hAnsi="Times New Roman" w:cs="Times New Roman"/>
        </w:rPr>
        <w:t>636</w:t>
      </w:r>
      <w:r w:rsidRPr="00C64EDC">
        <w:rPr>
          <w:rFonts w:ascii="Times New Roman" w:hAnsi="Times New Roman" w:cs="Times New Roman"/>
        </w:rPr>
        <w:t xml:space="preserve">% </w:t>
      </w:r>
      <w:r>
        <w:rPr>
          <w:rFonts w:ascii="Times New Roman" w:hAnsi="Times New Roman" w:cs="Times New Roman"/>
        </w:rPr>
        <w:t xml:space="preserve">increase in epidemic size (shift from </w:t>
      </w:r>
      <w:r w:rsidR="00380D1A">
        <w:rPr>
          <w:rFonts w:ascii="Times New Roman" w:hAnsi="Times New Roman" w:cs="Times New Roman"/>
        </w:rPr>
        <w:t>10.29</w:t>
      </w:r>
      <w:r>
        <w:rPr>
          <w:rFonts w:ascii="Times New Roman" w:hAnsi="Times New Roman" w:cs="Times New Roman"/>
        </w:rPr>
        <w:t xml:space="preserve"> to </w:t>
      </w:r>
      <w:r w:rsidR="0005553C">
        <w:rPr>
          <w:rFonts w:ascii="Times New Roman" w:hAnsi="Times New Roman" w:cs="Times New Roman"/>
        </w:rPr>
        <w:t>7</w:t>
      </w:r>
      <w:r w:rsidR="00380D1A">
        <w:rPr>
          <w:rFonts w:ascii="Times New Roman" w:hAnsi="Times New Roman" w:cs="Times New Roman"/>
        </w:rPr>
        <w:t>5.41</w:t>
      </w:r>
      <w:r>
        <w:rPr>
          <w:rFonts w:ascii="Times New Roman" w:hAnsi="Times New Roman" w:cs="Times New Roman"/>
        </w:rPr>
        <w:t xml:space="preserve">% total prevalence; Figure 3D &amp; E). Further, the 50:50 population experienced a large epidemic, a total of </w:t>
      </w:r>
      <w:r w:rsidR="00293E89">
        <w:rPr>
          <w:rFonts w:ascii="Times New Roman" w:hAnsi="Times New Roman" w:cs="Times New Roman"/>
        </w:rPr>
        <w:t>89</w:t>
      </w:r>
      <w:r>
        <w:rPr>
          <w:rFonts w:ascii="Times New Roman" w:hAnsi="Times New Roman" w:cs="Times New Roman"/>
        </w:rPr>
        <w:t xml:space="preserve">% becoming infected during the entire epidemic (Figure 3C). Additionally, the simulated 50:50 epidemic was slightly male-biased, with </w:t>
      </w:r>
      <w:r w:rsidR="00380D1A">
        <w:rPr>
          <w:rFonts w:ascii="Times New Roman" w:hAnsi="Times New Roman" w:cs="Times New Roman"/>
        </w:rPr>
        <w:t>96</w:t>
      </w:r>
      <w:r>
        <w:rPr>
          <w:rFonts w:ascii="Times New Roman" w:hAnsi="Times New Roman" w:cs="Times New Roman"/>
        </w:rPr>
        <w:t xml:space="preserve">% of males becoming infected during the epidemic compared to </w:t>
      </w:r>
      <w:r w:rsidR="00380D1A">
        <w:rPr>
          <w:rFonts w:ascii="Times New Roman" w:hAnsi="Times New Roman" w:cs="Times New Roman"/>
        </w:rPr>
        <w:t>82</w:t>
      </w:r>
      <w:r>
        <w:rPr>
          <w:rFonts w:ascii="Times New Roman" w:hAnsi="Times New Roman" w:cs="Times New Roman"/>
        </w:rPr>
        <w:t xml:space="preserve">% of females. </w:t>
      </w:r>
    </w:p>
    <w:p w14:paraId="0731B865" w14:textId="32966692" w:rsidR="00FE2A33" w:rsidRDefault="00FE2A33" w:rsidP="00FE2A33">
      <w:pPr>
        <w:spacing w:line="480" w:lineRule="auto"/>
        <w:ind w:firstLine="720"/>
        <w:rPr>
          <w:rFonts w:ascii="Times New Roman" w:hAnsi="Times New Roman" w:cs="Times New Roman"/>
        </w:rPr>
      </w:pPr>
      <w:r>
        <w:rPr>
          <w:rFonts w:ascii="Times New Roman" w:hAnsi="Times New Roman" w:cs="Times New Roman"/>
        </w:rPr>
        <w:t xml:space="preserve">Finally, to determine the effect of physiology on transmission, we manipulated parameters measured in isolation, independent from </w:t>
      </w:r>
      <w:proofErr w:type="spellStart"/>
      <w:r>
        <w:rPr>
          <w:rFonts w:ascii="Times New Roman" w:hAnsi="Times New Roman" w:cs="Times New Roman"/>
        </w:rPr>
        <w:t>behaviour</w:t>
      </w:r>
      <w:proofErr w:type="spellEnd"/>
      <w:r>
        <w:rPr>
          <w:rFonts w:ascii="Times New Roman" w:hAnsi="Times New Roman" w:cs="Times New Roman"/>
        </w:rPr>
        <w:t xml:space="preserve"> (i.e., latency period and recovery rate) in the male only population. First, we found that decreasing </w:t>
      </w:r>
      <w:r w:rsidRPr="00E060A0">
        <w:rPr>
          <w:rFonts w:ascii="Times New Roman" w:hAnsi="Times New Roman" w:cs="Times New Roman"/>
          <w:i/>
          <w:iCs/>
        </w:rPr>
        <w:t>γ</w:t>
      </w:r>
      <w:r>
        <w:rPr>
          <w:rFonts w:ascii="Times New Roman" w:hAnsi="Times New Roman" w:cs="Times New Roman"/>
        </w:rPr>
        <w:t xml:space="preserve"> (recovery rate) in males to the female rate resulted in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Pr>
          <w:rFonts w:ascii="Times New Roman" w:hAnsi="Times New Roman" w:cs="Times New Roman"/>
        </w:rPr>
        <w:t xml:space="preserve"> being </w:t>
      </w:r>
      <w:r w:rsidR="00293E89">
        <w:rPr>
          <w:rFonts w:ascii="Times New Roman" w:hAnsi="Times New Roman" w:cs="Times New Roman"/>
        </w:rPr>
        <w:t xml:space="preserve">nearly </w:t>
      </w:r>
      <w:r>
        <w:rPr>
          <w:rFonts w:ascii="Times New Roman" w:hAnsi="Times New Roman" w:cs="Times New Roman"/>
        </w:rPr>
        <w:t>halved</w:t>
      </w:r>
      <w:r>
        <w:rPr>
          <w:rFonts w:ascii="Times New Roman" w:hAnsi="Times New Roman" w:cs="Times New Roman"/>
          <w:i/>
          <w:iCs/>
        </w:rPr>
        <w:t xml:space="preserve"> </w:t>
      </w:r>
      <w:r>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Pr>
          <w:rFonts w:ascii="Times New Roman" w:hAnsi="Times New Roman" w:cs="Times New Roman"/>
          <w:i/>
          <w:iCs/>
          <w:vertAlign w:val="subscript"/>
        </w:rPr>
        <w:t xml:space="preserve"> </w:t>
      </w:r>
      <w:r>
        <w:rPr>
          <w:rFonts w:ascii="Times New Roman" w:hAnsi="Times New Roman" w:cs="Times New Roman"/>
        </w:rPr>
        <w:t>=</w:t>
      </w:r>
      <w:r w:rsidRPr="00546C54">
        <w:t xml:space="preserve"> </w:t>
      </w:r>
      <w:r w:rsidR="00380D1A">
        <w:rPr>
          <w:rFonts w:ascii="Times New Roman" w:hAnsi="Times New Roman" w:cs="Times New Roman"/>
        </w:rPr>
        <w:t>3.69</w:t>
      </w:r>
      <w:r>
        <w:rPr>
          <w:rFonts w:ascii="Times New Roman" w:hAnsi="Times New Roman" w:cs="Times New Roman"/>
        </w:rPr>
        <w:t xml:space="preserve">) but still high enough to cause an epidemic 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Pr>
          <w:rFonts w:ascii="Times New Roman" w:hAnsi="Times New Roman" w:cs="Times New Roman"/>
        </w:rPr>
        <w:t xml:space="preserve"> &gt; 1. Second, we found that decreasing male </w:t>
      </w:r>
      <w:r w:rsidRPr="00E060A0">
        <w:rPr>
          <w:rFonts w:ascii="Times New Roman" w:hAnsi="Times New Roman" w:cs="Times New Roman"/>
          <w:i/>
          <w:iCs/>
        </w:rPr>
        <w:t>γ</w:t>
      </w:r>
      <w:r>
        <w:rPr>
          <w:rFonts w:ascii="Times New Roman" w:hAnsi="Times New Roman" w:cs="Times New Roman"/>
        </w:rPr>
        <w:t xml:space="preserve"> and </w:t>
      </w:r>
      <w:r w:rsidRPr="004B3749">
        <w:rPr>
          <w:rFonts w:ascii="Times New Roman" w:eastAsia="Times New Roman" w:hAnsi="Times New Roman" w:cs="Times New Roman"/>
          <w:i/>
          <w:iCs/>
          <w:color w:val="000000"/>
        </w:rPr>
        <w:t>σ</w:t>
      </w:r>
      <w:r>
        <w:rPr>
          <w:rFonts w:ascii="Times New Roman" w:hAnsi="Times New Roman" w:cs="Times New Roman"/>
        </w:rPr>
        <w:t xml:space="preserve"> (rate at which individuals move from exposed to infectious states) to female rates in a simulated epidemic of the 50:50 population </w:t>
      </w:r>
      <w:r w:rsidR="0032355C">
        <w:rPr>
          <w:rFonts w:ascii="Times New Roman" w:hAnsi="Times New Roman" w:cs="Times New Roman"/>
        </w:rPr>
        <w:t xml:space="preserve">more than </w:t>
      </w:r>
      <w:r>
        <w:rPr>
          <w:rFonts w:ascii="Times New Roman" w:hAnsi="Times New Roman" w:cs="Times New Roman"/>
        </w:rPr>
        <w:t xml:space="preserve">halved </w:t>
      </w:r>
      <w:r w:rsidR="0032355C">
        <w:rPr>
          <w:rFonts w:ascii="Times New Roman" w:hAnsi="Times New Roman" w:cs="Times New Roman"/>
        </w:rPr>
        <w:t>peak prevalence</w:t>
      </w:r>
      <w:r>
        <w:rPr>
          <w:rFonts w:ascii="Times New Roman" w:hAnsi="Times New Roman" w:cs="Times New Roman"/>
        </w:rPr>
        <w:t xml:space="preserve"> (shift from </w:t>
      </w:r>
      <w:r w:rsidR="0032355C">
        <w:rPr>
          <w:rFonts w:ascii="Times New Roman" w:hAnsi="Times New Roman" w:cs="Times New Roman"/>
        </w:rPr>
        <w:t>20</w:t>
      </w:r>
      <w:r>
        <w:rPr>
          <w:rFonts w:ascii="Times New Roman" w:hAnsi="Times New Roman" w:cs="Times New Roman"/>
        </w:rPr>
        <w:t xml:space="preserve"> to </w:t>
      </w:r>
      <w:r w:rsidR="0032355C">
        <w:rPr>
          <w:rFonts w:ascii="Times New Roman" w:hAnsi="Times New Roman" w:cs="Times New Roman"/>
        </w:rPr>
        <w:t>9</w:t>
      </w:r>
      <w:r>
        <w:rPr>
          <w:rFonts w:ascii="Times New Roman" w:hAnsi="Times New Roman" w:cs="Times New Roman"/>
        </w:rPr>
        <w:t xml:space="preserve">%). These parameter changes lead to epidemic dynamics in the 50:50 population that closely resemble those of the 25% male population.  </w:t>
      </w:r>
    </w:p>
    <w:p w14:paraId="197BBD88" w14:textId="77777777" w:rsidR="00FE2A33" w:rsidRDefault="00FE2A33" w:rsidP="00FE2A33">
      <w:pPr>
        <w:spacing w:line="480" w:lineRule="auto"/>
        <w:rPr>
          <w:rFonts w:ascii="Times New Roman" w:hAnsi="Times New Roman" w:cs="Times New Roman"/>
          <w:b/>
        </w:rPr>
      </w:pPr>
      <w:r w:rsidRPr="00553F82">
        <w:rPr>
          <w:rFonts w:ascii="Times New Roman" w:hAnsi="Times New Roman" w:cs="Times New Roman"/>
          <w:b/>
        </w:rPr>
        <w:t>Discussion</w:t>
      </w:r>
    </w:p>
    <w:p w14:paraId="3B22BEC8" w14:textId="01E8B242" w:rsidR="00FE2A33" w:rsidRPr="002259B2" w:rsidRDefault="00D616E1" w:rsidP="00FE2A33">
      <w:pPr>
        <w:spacing w:line="480" w:lineRule="auto"/>
        <w:ind w:firstLine="720"/>
        <w:rPr>
          <w:rFonts w:ascii="Times New Roman" w:hAnsi="Times New Roman" w:cs="Times New Roman"/>
        </w:rPr>
      </w:pPr>
      <w:r>
        <w:rPr>
          <w:rFonts w:ascii="Times New Roman" w:hAnsi="Times New Roman" w:cs="Times New Roman"/>
          <w:bCs/>
        </w:rPr>
        <w:lastRenderedPageBreak/>
        <w:t xml:space="preserve">Here we set out to examine the </w:t>
      </w:r>
      <w:r w:rsidRPr="002412AB">
        <w:rPr>
          <w:rFonts w:ascii="Times New Roman" w:hAnsi="Times New Roman" w:cs="Times New Roman"/>
          <w:bCs/>
        </w:rPr>
        <w:t xml:space="preserve">previously unexplored </w:t>
      </w:r>
      <w:r>
        <w:rPr>
          <w:rFonts w:ascii="Times New Roman" w:hAnsi="Times New Roman" w:cs="Times New Roman"/>
          <w:bCs/>
        </w:rPr>
        <w:t>potential for male-biased pathology</w:t>
      </w:r>
      <w:r w:rsidR="008F44CA">
        <w:rPr>
          <w:rFonts w:ascii="Times New Roman" w:hAnsi="Times New Roman" w:cs="Times New Roman"/>
          <w:bCs/>
        </w:rPr>
        <w:t>, independent of behavior,</w:t>
      </w:r>
      <w:r>
        <w:rPr>
          <w:rFonts w:ascii="Times New Roman" w:hAnsi="Times New Roman" w:cs="Times New Roman"/>
          <w:bCs/>
        </w:rPr>
        <w:t xml:space="preserve"> to affect transmission using an avian host-pathogen system. </w:t>
      </w:r>
      <w:r w:rsidR="00FE2A33">
        <w:rPr>
          <w:rFonts w:ascii="Times New Roman" w:hAnsi="Times New Roman" w:cs="Times New Roman"/>
        </w:rPr>
        <w:t xml:space="preserve">We built a sex-dependent transmission model parameterized with isolated, individual-based experimental exposures and experimental transmission data. Our controlled </w:t>
      </w:r>
      <w:r w:rsidR="005902A3">
        <w:rPr>
          <w:rFonts w:ascii="Times New Roman" w:hAnsi="Times New Roman" w:cs="Times New Roman"/>
        </w:rPr>
        <w:t>MG-</w:t>
      </w:r>
      <w:r w:rsidR="00FE2A33">
        <w:rPr>
          <w:rFonts w:ascii="Times New Roman" w:hAnsi="Times New Roman" w:cs="Times New Roman"/>
        </w:rPr>
        <w:t xml:space="preserve">exposure experiment demonstrated that </w:t>
      </w:r>
      <w:r w:rsidR="00FE2A33" w:rsidRPr="00A476BD">
        <w:rPr>
          <w:rFonts w:ascii="Times New Roman" w:hAnsi="Times New Roman" w:cs="Times New Roman"/>
        </w:rPr>
        <w:t>male</w:t>
      </w:r>
      <w:r w:rsidR="00FE2A33">
        <w:rPr>
          <w:rFonts w:ascii="Times New Roman" w:hAnsi="Times New Roman" w:cs="Times New Roman"/>
        </w:rPr>
        <w:t xml:space="preserve"> </w:t>
      </w:r>
      <w:r w:rsidR="005902A3">
        <w:rPr>
          <w:rFonts w:ascii="Times New Roman" w:hAnsi="Times New Roman" w:cs="Times New Roman"/>
        </w:rPr>
        <w:t xml:space="preserve">canaries </w:t>
      </w:r>
      <w:r w:rsidR="00FE2A33">
        <w:rPr>
          <w:rFonts w:ascii="Times New Roman" w:hAnsi="Times New Roman" w:cs="Times New Roman"/>
        </w:rPr>
        <w:t>have shorter incubation periods,</w:t>
      </w:r>
      <w:r w:rsidR="00FE2A33" w:rsidRPr="00A476BD">
        <w:rPr>
          <w:rFonts w:ascii="Times New Roman" w:hAnsi="Times New Roman" w:cs="Times New Roman"/>
        </w:rPr>
        <w:t xml:space="preserve"> </w:t>
      </w:r>
      <w:r w:rsidR="00FE2A33">
        <w:rPr>
          <w:rFonts w:ascii="Times New Roman" w:hAnsi="Times New Roman" w:cs="Times New Roman"/>
        </w:rPr>
        <w:t xml:space="preserve">longer </w:t>
      </w:r>
      <w:r w:rsidR="00FE2A33" w:rsidRPr="00A476BD">
        <w:rPr>
          <w:rFonts w:ascii="Times New Roman" w:hAnsi="Times New Roman" w:cs="Times New Roman"/>
        </w:rPr>
        <w:t xml:space="preserve">recovery </w:t>
      </w:r>
      <w:r w:rsidR="00FE2A33">
        <w:rPr>
          <w:rFonts w:ascii="Times New Roman" w:hAnsi="Times New Roman" w:cs="Times New Roman"/>
        </w:rPr>
        <w:t xml:space="preserve">periods, </w:t>
      </w:r>
      <w:r w:rsidR="00FE2A33" w:rsidRPr="00A476BD">
        <w:rPr>
          <w:rFonts w:ascii="Times New Roman" w:hAnsi="Times New Roman" w:cs="Times New Roman"/>
        </w:rPr>
        <w:t xml:space="preserve">and </w:t>
      </w:r>
      <w:r w:rsidR="00FE2A33">
        <w:rPr>
          <w:rFonts w:ascii="Times New Roman" w:hAnsi="Times New Roman" w:cs="Times New Roman"/>
        </w:rPr>
        <w:t xml:space="preserve">higher </w:t>
      </w:r>
      <w:r w:rsidR="00FE2A33" w:rsidRPr="00A476BD">
        <w:rPr>
          <w:rFonts w:ascii="Times New Roman" w:hAnsi="Times New Roman" w:cs="Times New Roman"/>
        </w:rPr>
        <w:t>pathogen burdens</w:t>
      </w:r>
      <w:r w:rsidR="00FE2A33">
        <w:rPr>
          <w:rFonts w:ascii="Times New Roman" w:hAnsi="Times New Roman" w:cs="Times New Roman"/>
        </w:rPr>
        <w:t xml:space="preserve"> than females. Using </w:t>
      </w:r>
      <w:r w:rsidR="00FE2A33" w:rsidRPr="00A476BD">
        <w:rPr>
          <w:rFonts w:ascii="Times New Roman" w:hAnsi="Times New Roman" w:cs="Times New Roman"/>
        </w:rPr>
        <w:t xml:space="preserve">a multistate transmission model parameterized with exposure-controlled pathological data </w:t>
      </w:r>
      <w:r w:rsidR="00EF4835">
        <w:rPr>
          <w:rFonts w:ascii="Times New Roman" w:hAnsi="Times New Roman" w:cs="Times New Roman"/>
        </w:rPr>
        <w:t xml:space="preserve">of domestic canaries </w:t>
      </w:r>
      <w:r w:rsidR="00FE2A33" w:rsidRPr="00A476BD">
        <w:rPr>
          <w:rFonts w:ascii="Times New Roman" w:hAnsi="Times New Roman" w:cs="Times New Roman"/>
        </w:rPr>
        <w:t xml:space="preserve">and transmission rates from </w:t>
      </w:r>
      <w:r w:rsidR="00EF4835">
        <w:rPr>
          <w:rFonts w:ascii="Times New Roman" w:hAnsi="Times New Roman" w:cs="Times New Roman"/>
        </w:rPr>
        <w:t xml:space="preserve">house finch </w:t>
      </w:r>
      <w:r w:rsidR="00FE2A33" w:rsidRPr="00A476BD">
        <w:rPr>
          <w:rFonts w:ascii="Times New Roman" w:hAnsi="Times New Roman" w:cs="Times New Roman"/>
        </w:rPr>
        <w:t>flocks of varying sex-ratios</w:t>
      </w:r>
      <w:r w:rsidR="00FE2A33">
        <w:rPr>
          <w:rFonts w:ascii="Times New Roman" w:hAnsi="Times New Roman" w:cs="Times New Roman"/>
        </w:rPr>
        <w:t xml:space="preserve">, we show that epidemic size rapidly increases with the proportion of male birds in a flock. These results </w:t>
      </w:r>
      <w:r w:rsidR="00C009D1">
        <w:rPr>
          <w:rFonts w:ascii="Times New Roman" w:hAnsi="Times New Roman" w:cs="Times New Roman"/>
        </w:rPr>
        <w:t xml:space="preserve">lend </w:t>
      </w:r>
      <w:r w:rsidR="00FE2A33">
        <w:rPr>
          <w:rFonts w:ascii="Times New Roman" w:hAnsi="Times New Roman" w:cs="Times New Roman"/>
        </w:rPr>
        <w:t>support to the hypothesis that</w:t>
      </w:r>
      <w:r w:rsidR="00757608">
        <w:rPr>
          <w:rFonts w:ascii="Times New Roman" w:hAnsi="Times New Roman" w:cs="Times New Roman"/>
        </w:rPr>
        <w:t xml:space="preserve"> there are epidemiological consequences to sex-biased resistance and pathology</w:t>
      </w:r>
      <w:r w:rsidR="00FE2A33">
        <w:rPr>
          <w:rFonts w:ascii="Times New Roman" w:hAnsi="Times New Roman" w:cs="Times New Roman"/>
        </w:rPr>
        <w:t xml:space="preserve">. This study is the first to model sex-biased transmission in this system, and is one of few to model sex-biased transmission dynamics in an avian pathogen system </w:t>
      </w:r>
      <w:r w:rsidR="00FE2A33">
        <w:rPr>
          <w:rFonts w:ascii="Times New Roman" w:hAnsi="Times New Roman" w:cs="Times New Roman"/>
        </w:rPr>
        <w:fldChar w:fldCharType="begin"/>
      </w:r>
      <w:r w:rsidR="00FE2A33">
        <w:rPr>
          <w:rFonts w:ascii="Times New Roman" w:hAnsi="Times New Roman" w:cs="Times New Roman"/>
        </w:rPr>
        <w:instrText xml:space="preserve"> ADDIN ZOTERO_ITEM CSL_CITATION {"citationID":"CXjGDMK5","properties":{"formattedCitation":"(Grear et al., 2009; Lachish et al., 2011; Mougeot et al., 2005; Zuk &amp; McKean, 1996)","plainCitation":"(Grear et al., 2009; Lachish et al., 2011; Mougeot et al., 2005; Zuk &amp; McKean, 1996)","noteIndex":0},"citationItems":[{"id":13142,"uris":["http://zotero.org/users/6240348/items/LS4LAJ3I"],"itemData":{"id":13142,"type":"article-journal","container-title":"International Journal for Parasitology","DOI":"10.1016/S0020-7519(96)80001-4","ISSN":"00207519","issue":"10","journalAbbreviation":"International Journal for Parasitology","language":"en","page":"1009-1024","source":"DOI.org (Crossref)","title":"Sex differences in parasite infections: Patterns and processes","title-short":"Sex differences in parasite infections","volume":"26","author":[{"family":"Zuk","given":"Marlene"},{"family":"McKean","given":"Kurt A."}],"issued":{"date-parts":[["1996",10]]}}},{"id":13137,"uris":["http://zotero.org/users/6240348/items/8WFIY5EQ"],"itemData":{"id":13137,"type":"article-journal","container-title":"The American Naturalist","DOI":"10.1086/431256","ISSN":"0003-0147, 1537-5323","issue":"2","journalAbbreviation":"The American Naturalist","language":"en","page":"158-168","source":"DOI.org (Crossref)","title":"Separating Behavioral and Physiological Mechanisms in Testosterone‐Mediated Trade‐Offs","volume":"166","author":[{"family":"Mougeot","given":"François"},{"family":"Redpath","given":"Stephen M."},{"family":"Piertney","given":"Stuart B."},{"family":"Hudson","given":"Peter J."}],"issued":{"date-parts":[["2005",8]]}}},{"id":13140,"uris":["</w:instrText>
      </w:r>
      <w:r w:rsidR="00FE2A33" w:rsidRPr="002259B2">
        <w:rPr>
          <w:rFonts w:ascii="Times New Roman" w:hAnsi="Times New Roman" w:cs="Times New Roman"/>
        </w:rPr>
        <w:instrText xml:space="preserve">http://zotero.org/users/6240348/items/GNRC9MYV"],"itemData":{"id":13140,"type":"article-journal","container-title":"Ecology Letters","DOI":"10.1111/j.1461-0248.2009.01306.x","ISSN":"1461023X, 14610248","issue":"6","language":"en","page":"528-537","source":"DOI.org (Crossref)","title":"Does elevated testosterone result in increased exposure and transmission of parasites?","volume":"12","author":[{"family":"Grear","given":"Daniel A."},{"family":"Perkins","given":"Sarah E."},{"family":"Hudson","given":"Peter J."}],"issued":{"date-parts":[["2009",6]]}}},{"id":13166,"uris":["http://zotero.org/users/6240348/items/X7K7F6BX"],"itemData":{"id":13166,"type":"article-journal","container-title":"Journal of Animal Ecology","DOI":"10.1111/j.1365-2656.2011.01893.x","ISSN":"00218790","issue":"6","language":"en","page":"1207-1216","source":"DOI.org (Crossref)","title":"Infection dynamics of endemic malaria in a wild bird population: parasite species-dependent drivers of spatial and temporal variation in transmission rates: Infection dynamics of endemic avian malaria","title-short":"Infection dynamics of endemic malaria in a wild bird population","volume":"80","author":[{"family":"Lachish","given":"Shelly"},{"family":"Knowles","given":"Sarah C. L."},{"family":"Alves","given":"Ricardo"},{"family":"Wood","given":"Matthew J."},{"family":"Sheldon","given":"Ben C."}],"issued":{"date-parts":[["2011",11]]}}}],"schema":"https://github.com/citation-style-language/schema/raw/master/csl-citation.json"} </w:instrText>
      </w:r>
      <w:r w:rsidR="00FE2A33">
        <w:rPr>
          <w:rFonts w:ascii="Times New Roman" w:hAnsi="Times New Roman" w:cs="Times New Roman"/>
        </w:rPr>
        <w:fldChar w:fldCharType="separate"/>
      </w:r>
      <w:r w:rsidR="00FE2A33" w:rsidRPr="002259B2">
        <w:rPr>
          <w:rFonts w:ascii="Times New Roman" w:hAnsi="Times New Roman" w:cs="Times New Roman"/>
        </w:rPr>
        <w:t>(Grear et al., 2009; Lachish et al., 2011; Mougeot et al., 2005; Zuk &amp; McKean, 1996)</w:t>
      </w:r>
      <w:r w:rsidR="00FE2A33">
        <w:rPr>
          <w:rFonts w:ascii="Times New Roman" w:hAnsi="Times New Roman" w:cs="Times New Roman"/>
        </w:rPr>
        <w:fldChar w:fldCharType="end"/>
      </w:r>
      <w:r w:rsidR="00FE2A33" w:rsidRPr="002259B2">
        <w:rPr>
          <w:rFonts w:ascii="Times New Roman" w:hAnsi="Times New Roman" w:cs="Times New Roman"/>
        </w:rPr>
        <w:t xml:space="preserve">. </w:t>
      </w:r>
    </w:p>
    <w:p w14:paraId="72D6A02C" w14:textId="64879BEC" w:rsidR="00E5517E" w:rsidRDefault="00FE2A33" w:rsidP="00FE2A33">
      <w:pPr>
        <w:spacing w:line="480" w:lineRule="auto"/>
        <w:ind w:firstLine="720"/>
        <w:rPr>
          <w:rFonts w:ascii="Times New Roman" w:hAnsi="Times New Roman" w:cs="Times New Roman"/>
        </w:rPr>
      </w:pPr>
      <w:r>
        <w:rPr>
          <w:rFonts w:ascii="Times New Roman" w:hAnsi="Times New Roman" w:cs="Times New Roman"/>
        </w:rPr>
        <w:t>Isolated experimental exposures</w:t>
      </w:r>
      <w:r w:rsidR="00895B26">
        <w:rPr>
          <w:rFonts w:ascii="Times New Roman" w:hAnsi="Times New Roman" w:cs="Times New Roman"/>
        </w:rPr>
        <w:t xml:space="preserve"> in canaries</w:t>
      </w:r>
      <w:r>
        <w:rPr>
          <w:rFonts w:ascii="Times New Roman" w:hAnsi="Times New Roman" w:cs="Times New Roman"/>
        </w:rPr>
        <w:t xml:space="preserve"> suggest that male bird physiology is contributing to MG transmission dynamics independent of sex-biased </w:t>
      </w:r>
      <w:proofErr w:type="spellStart"/>
      <w:r>
        <w:rPr>
          <w:rFonts w:ascii="Times New Roman" w:hAnsi="Times New Roman" w:cs="Times New Roman"/>
        </w:rPr>
        <w:t>behavioural</w:t>
      </w:r>
      <w:proofErr w:type="spellEnd"/>
      <w:r>
        <w:rPr>
          <w:rFonts w:ascii="Times New Roman" w:hAnsi="Times New Roman" w:cs="Times New Roman"/>
        </w:rPr>
        <w:t xml:space="preserve"> differences</w:t>
      </w:r>
      <w:r w:rsidRPr="00C12F84">
        <w:rPr>
          <w:rFonts w:ascii="Times New Roman" w:hAnsi="Times New Roman" w:cs="Times New Roman"/>
        </w:rPr>
        <w:t xml:space="preserve">. </w:t>
      </w:r>
      <w:r>
        <w:rPr>
          <w:rFonts w:ascii="Times New Roman" w:hAnsi="Times New Roman" w:cs="Times New Roman"/>
        </w:rPr>
        <w:t xml:space="preserve">Male incubation periods are 27% </w:t>
      </w:r>
      <w:proofErr w:type="gramStart"/>
      <w:r>
        <w:rPr>
          <w:rFonts w:ascii="Times New Roman" w:hAnsi="Times New Roman" w:cs="Times New Roman"/>
        </w:rPr>
        <w:t>faster</w:t>
      </w:r>
      <w:proofErr w:type="gramEnd"/>
      <w:r>
        <w:rPr>
          <w:rFonts w:ascii="Times New Roman" w:hAnsi="Times New Roman" w:cs="Times New Roman"/>
        </w:rPr>
        <w:t xml:space="preserve"> and they remain infectious for 48% longer than females, meaning the period which they can transmit disease is nearly twice as long. </w:t>
      </w:r>
      <w:r w:rsidR="00505192">
        <w:rPr>
          <w:rFonts w:ascii="Times New Roman" w:hAnsi="Times New Roman" w:cs="Times New Roman"/>
        </w:rPr>
        <w:t xml:space="preserve">Similarly, male house finch incubation periods were 30% faster in Adelman et al., 2015. </w:t>
      </w:r>
      <w:r>
        <w:rPr>
          <w:rFonts w:ascii="Times New Roman" w:hAnsi="Times New Roman" w:cs="Times New Roman"/>
        </w:rPr>
        <w:t>Further, male birds had higher pathogen loads and greater pathology than females, suggesting male</w:t>
      </w:r>
      <w:r w:rsidR="00EF4835">
        <w:rPr>
          <w:rFonts w:ascii="Times New Roman" w:hAnsi="Times New Roman" w:cs="Times New Roman"/>
        </w:rPr>
        <w:t xml:space="preserve"> canaries would</w:t>
      </w:r>
      <w:r>
        <w:rPr>
          <w:rFonts w:ascii="Times New Roman" w:hAnsi="Times New Roman" w:cs="Times New Roman"/>
        </w:rPr>
        <w:t xml:space="preserve"> deposit greater quantities of pathogen on fomites, a critical transmission mode in this system </w:t>
      </w:r>
      <w:r>
        <w:rPr>
          <w:rFonts w:ascii="Times New Roman" w:hAnsi="Times New Roman" w:cs="Times New Roman"/>
        </w:rPr>
        <w:fldChar w:fldCharType="begin"/>
      </w:r>
      <w:r w:rsidR="00EF4835">
        <w:rPr>
          <w:rFonts w:ascii="Times New Roman" w:hAnsi="Times New Roman" w:cs="Times New Roman"/>
        </w:rPr>
        <w:instrText xml:space="preserve"> ADDIN ZOTERO_ITEM CSL_CITATION {"citationID":"O9qnbb8U","properties":{"formattedCitation":"(Adelman et al., 2015; Dhondt et al., 2007)","plainCitation":"(Adelman et al., 2015; Dhondt et al., 2007)","noteIndex":0},"citationItems":[{"id":11941,"uris":["http://zotero.org/users/6240348/items/IUAKUCLX"],"itemData":{"id":11941,"type":"article-journal","container-title":"Avian Pathology","DOI":"10.1080/03079450701286277","ISSN":"0307-9457, 1465-3338","issue":"3","journalAbbreviation":"Avian Pathology","language":"en","page":"205-208","source":"DOI.org (Crossref)","title":"Experimental evidence for transmission of &lt;i&gt;Mycoplasma gallisepticum&lt;/i&gt; in house finches by fomites","volume":"36","author":[{"family":"Dhondt","given":"André A."},{"family":"Dhondt","given":"Keila V."},{"family":"Hawley","given":"Dana M."},{"family":"Jennelle","given":"Christopher S."}],"issued":{"date-parts":[["2007",6]]}}},{"id":11943,"uris":["http://zotero.org/users/6240348/items/7TY2MALJ"],"itemData":{"id":11943,"type":"article-journal","abstract":"Individual heterogeneity can influence the dynamics of infectious diseases in wildlife and humans alike. Thus, recent work has sought to identify behavioural characteristics that contribute disproportionately to individual variation in pathogen acquisition (super-receiving) or transmission (super-spreading). However, it remains unknown whether the same behaviours enhance both acquisition and transmission, a scenario likely to result in explosive epidemics. Here, we examined this possibility in an ecologically relevant host–pathogen system: house finches and their bacterial pathogen,\n              Mycoplasma gallisepticum\n              , which causes severe conjunctivitis. We examined behaviours likely to influence disease acquisition (feeder use, aggression, social network affiliations) in an observational field study, finding that the time an individual spends on bird feeders best predicted the risk of conjunctivitis. To test whether this behaviour also influences the likelihood of transmitting\n              M. gallisepticum\n              , we experimentally inoculated individuals based on feeding behaviour and tracked epidemics within captive flocks. As predicted, transmission was fastest when birds that spent the most time on feeders initiated the epidemic. Our results suggest that the same behaviour underlies both pathogen acquisition and transmission in this system and potentially others. Identifying individuals that exhibit such behaviours is critical for disease management.","container-title":"Proceedings of the Royal Society B: Biological Sciences","DOI":"10.1098/rspb.2015.1429","ISSN":"0962-8452, 1471-2954","issue":"1815","journalAbbreviation":"Proc. R. Soc. B.","language":"en","page":"20151429","source":"DOI.org (Crossref)","title":"Feeder use predicts both acquisition and transmission of a contagious pathogen in a North American songbird","volume":"282","author":[{"family":"Adelman","given":"James S."},{"family":"Moyers","given":"Sahnzi C."},{"family":"Farine","given":"Damien R."},{"family":"Hawley","given":"Dana M."}],"issued":{"date-parts":[["2015",9,22]]}}}],"schema":"https://github.com/citation-style-language/schema/raw/master/csl-citation.json"} </w:instrText>
      </w:r>
      <w:r>
        <w:rPr>
          <w:rFonts w:ascii="Times New Roman" w:hAnsi="Times New Roman" w:cs="Times New Roman"/>
        </w:rPr>
        <w:fldChar w:fldCharType="separate"/>
      </w:r>
      <w:r w:rsidR="00EF4835">
        <w:rPr>
          <w:rFonts w:ascii="Times New Roman" w:hAnsi="Times New Roman" w:cs="Times New Roman"/>
        </w:rPr>
        <w:t>(Adelman et al., 2015; Dhondt et al., 2007)</w:t>
      </w:r>
      <w:r>
        <w:rPr>
          <w:rFonts w:ascii="Times New Roman" w:hAnsi="Times New Roman" w:cs="Times New Roman"/>
        </w:rPr>
        <w:fldChar w:fldCharType="end"/>
      </w:r>
      <w:r>
        <w:rPr>
          <w:rFonts w:ascii="Times New Roman" w:hAnsi="Times New Roman" w:cs="Times New Roman"/>
        </w:rPr>
        <w:t xml:space="preserve">. </w:t>
      </w:r>
      <w:r w:rsidR="00E5517E">
        <w:rPr>
          <w:rFonts w:ascii="Times New Roman" w:hAnsi="Times New Roman" w:cs="Times New Roman"/>
        </w:rPr>
        <w:t xml:space="preserve">We also found that male-biased mortality resulted in a 0.79 males per female ratio in our 50:50 flock simulation. Surveys of house finch populations shortly after the initial introduction of MG found similar effects with sex ratios shifting from </w:t>
      </w:r>
      <w:r w:rsidR="00E5517E">
        <w:rPr>
          <w:rFonts w:ascii="Times New Roman" w:hAnsi="Times New Roman" w:cs="Times New Roman"/>
        </w:rPr>
        <w:lastRenderedPageBreak/>
        <w:t xml:space="preserve">even or slightly male-biased to female </w:t>
      </w:r>
      <w:r w:rsidR="001E7E04">
        <w:rPr>
          <w:rFonts w:ascii="Times New Roman" w:hAnsi="Times New Roman" w:cs="Times New Roman"/>
        </w:rPr>
        <w:t xml:space="preserve">biased </w:t>
      </w:r>
      <w:r w:rsidR="00E5517E">
        <w:rPr>
          <w:rFonts w:ascii="Times New Roman" w:hAnsi="Times New Roman" w:cs="Times New Roman"/>
        </w:rPr>
        <w:t>(Nolan et al.</w:t>
      </w:r>
      <w:r w:rsidR="00505192">
        <w:rPr>
          <w:rFonts w:ascii="Times New Roman" w:hAnsi="Times New Roman" w:cs="Times New Roman"/>
        </w:rPr>
        <w:t>,</w:t>
      </w:r>
      <w:r w:rsidR="00E5517E">
        <w:rPr>
          <w:rFonts w:ascii="Times New Roman" w:hAnsi="Times New Roman" w:cs="Times New Roman"/>
        </w:rPr>
        <w:t xml:space="preserve"> 1998). Given the continued abundance of MG in house finch populations, it is possible that sex-biased mortality may have </w:t>
      </w:r>
      <w:r w:rsidR="00090A33">
        <w:rPr>
          <w:rFonts w:ascii="Times New Roman" w:hAnsi="Times New Roman" w:cs="Times New Roman"/>
        </w:rPr>
        <w:t>caused</w:t>
      </w:r>
      <w:r w:rsidR="00E5517E">
        <w:rPr>
          <w:rFonts w:ascii="Times New Roman" w:hAnsi="Times New Roman" w:cs="Times New Roman"/>
        </w:rPr>
        <w:t xml:space="preserve"> long lasting and widespread shifts in </w:t>
      </w:r>
      <w:r w:rsidR="00090A33">
        <w:rPr>
          <w:rFonts w:ascii="Times New Roman" w:hAnsi="Times New Roman" w:cs="Times New Roman"/>
        </w:rPr>
        <w:t xml:space="preserve">adult </w:t>
      </w:r>
      <w:r w:rsidR="00E5517E">
        <w:rPr>
          <w:rFonts w:ascii="Times New Roman" w:hAnsi="Times New Roman" w:cs="Times New Roman"/>
        </w:rPr>
        <w:t xml:space="preserve">sex ratio or effects on maternal manipulation of embryo sex ratios </w:t>
      </w:r>
      <w:r w:rsidR="00A157B6">
        <w:rPr>
          <w:rFonts w:ascii="Times New Roman" w:hAnsi="Times New Roman" w:cs="Times New Roman"/>
        </w:rPr>
        <w:fldChar w:fldCharType="begin"/>
      </w:r>
      <w:r w:rsidR="00A157B6">
        <w:rPr>
          <w:rFonts w:ascii="Times New Roman" w:hAnsi="Times New Roman" w:cs="Times New Roman"/>
        </w:rPr>
        <w:instrText xml:space="preserve"> ADDIN ZOTERO_ITEM CSL_CITATION {"citationID":"iIJ6o6d5","properties":{"formattedCitation":"(Badyaev et al., 2006; DuRant et al., 2016)","plainCitation":"(Badyaev et al., 2006; DuRant et al., 2016)","noteIndex":0},"citationItems":[{"id":11991,"uris":["http://zotero.org/users/6240348/items/X57PCXB9"],"itemData":{"id":11991,"type":"article-journal","container-title":"Proceedings of the National Academy of Sciences","DOI":"10.1073/pnas.0602452103","ISSN":"0027-8424, 1091-6490","issue":"39","journalAbbreviation":"Proceedings of the National Academy of Sciences","language":"en","page":"14406-14411","source":"DOI.org (Crossref)","title":"Sex-biased maternal effects reduce ectoparasite-induced mortality in a passerine bird","volume":"103","author":[{"family":"Badyaev","given":"A. V."},{"family":"Hamstra","given":"T. L."},{"family":"Oh","given":"K. P."},{"family":"Acevedo Seaman","given":"D. A."}],"issued":{"date-parts":[["2006",9,26]]}}},{"id":11850,"uris":["http://zotero.org/users/6240348/items/H8EZTXGL"],"itemData":{"id":11850,"type":"article-journal","abstract":"Skip to Next Section\nMany animals with genetic sex determination are nonetheless capable of manipulating sex ratios via behavioral and physiological means, which can sometimes result in fitness benefits to the parent. Sex ratio manipulation in birds is not widely documented, and revealing the mechanisms for altered sex ratios in vertebrates remains a compelling area of research. Incubation temperature is a key component of the developmental environment for birds, but despite its well-documented effects on offspring phenotype it has rarely been considered as a factor in avian sex ratios. Using ecologically relevant manipulations of incubation temperature within the range 35.0–37.0°C, we found greater mortality of female embryos during incubation than males regardless of incubation temperature, and evidence that more female than male embryos die at the lowest incubation temperature (35.0°C). Our findings in conjunction with previous work in brush turkeys suggest incubation temperature is an important determinant of avian secondary sex ratios that requires additional study, and should be considered when estimating the impact of climate change on avian populations.","container-title":"Journal of Experimental Biology","DOI":"10.1242/jeb.138263","ISSN":"0022-0949, 1477-9145","issue":"13","language":"en","license":"© 2016. Published by The Company of Biologists Ltd","note":"publisher: The Company of Biologists Ltd\nsection: SHORT COMMUNICATION\nPMID: 27143750","page":"1961-1964","source":"jeb.biologists.org","title":"Incubation temperature causes skewed sex ratios in a precocial bird","volume":"219","author":[{"family":"DuRant","given":"Sarah E."},{"family":"Hopkins","given":"William A."},{"family":"Carter","given":"Amanda W."},{"family":"Kirkpatrick","given":"Laila T."},{"family":"Navara","given":"Kristin J."},{"family":"Hawley","given":"Dana M."}],"issued":{"date-parts":[["2016",7,1]]}}}],"schema":"https://github.com/citation-style-language/schema/raw/master/csl-citation.json"} </w:instrText>
      </w:r>
      <w:r w:rsidR="00A157B6">
        <w:rPr>
          <w:rFonts w:ascii="Times New Roman" w:hAnsi="Times New Roman" w:cs="Times New Roman"/>
        </w:rPr>
        <w:fldChar w:fldCharType="separate"/>
      </w:r>
      <w:r w:rsidR="00A157B6">
        <w:rPr>
          <w:rFonts w:ascii="Times New Roman" w:hAnsi="Times New Roman" w:cs="Times New Roman"/>
          <w:noProof/>
        </w:rPr>
        <w:t>(Badyaev et al., 2006; DuRant et al., 2016)</w:t>
      </w:r>
      <w:r w:rsidR="00A157B6">
        <w:rPr>
          <w:rFonts w:ascii="Times New Roman" w:hAnsi="Times New Roman" w:cs="Times New Roman"/>
        </w:rPr>
        <w:fldChar w:fldCharType="end"/>
      </w:r>
      <w:r w:rsidR="00E5517E">
        <w:rPr>
          <w:rFonts w:ascii="Times New Roman" w:hAnsi="Times New Roman" w:cs="Times New Roman"/>
        </w:rPr>
        <w:t xml:space="preserve">.  </w:t>
      </w:r>
      <w:r w:rsidR="00EF4835">
        <w:rPr>
          <w:rFonts w:ascii="Times New Roman" w:hAnsi="Times New Roman" w:cs="Times New Roman"/>
        </w:rPr>
        <w:t>However, s</w:t>
      </w:r>
      <w:r w:rsidR="00E5517E">
        <w:rPr>
          <w:rFonts w:ascii="Times New Roman" w:hAnsi="Times New Roman" w:cs="Times New Roman"/>
        </w:rPr>
        <w:t>urveys of pre- and post-epidemic house finch sex-ratios are needed to further understand the effects of sex-biased mortality on populations.</w:t>
      </w:r>
    </w:p>
    <w:p w14:paraId="3EFDD739" w14:textId="5DF39929" w:rsidR="00FE2A33" w:rsidRDefault="00FE2A33" w:rsidP="00FE2A33">
      <w:pPr>
        <w:spacing w:line="480" w:lineRule="auto"/>
        <w:ind w:firstLine="720"/>
        <w:rPr>
          <w:rFonts w:ascii="Times New Roman" w:hAnsi="Times New Roman" w:cs="Times New Roman"/>
        </w:rPr>
      </w:pPr>
      <w:r>
        <w:rPr>
          <w:rFonts w:ascii="Times New Roman" w:hAnsi="Times New Roman" w:cs="Times New Roman"/>
        </w:rPr>
        <w:t>While there is limited available data on sex-biased pathology in the house finch-MG system, there is some supporting evidence that male house finches have significantly greater pathology</w:t>
      </w:r>
      <w:r w:rsidR="00505192">
        <w:rPr>
          <w:rFonts w:ascii="Times New Roman" w:hAnsi="Times New Roman" w:cs="Times New Roman"/>
        </w:rPr>
        <w:t xml:space="preserve"> (i.e. eye inflammation)</w:t>
      </w:r>
      <w:r>
        <w:rPr>
          <w:rFonts w:ascii="Times New Roman" w:hAnsi="Times New Roman" w:cs="Times New Roman"/>
        </w:rPr>
        <w:t xml:space="preserve"> than females </w:t>
      </w:r>
      <w:r>
        <w:rPr>
          <w:rFonts w:ascii="Times New Roman" w:hAnsi="Times New Roman" w:cs="Times New Roman"/>
        </w:rPr>
        <w:fldChar w:fldCharType="begin"/>
      </w:r>
      <w:r w:rsidR="00EF4835">
        <w:rPr>
          <w:rFonts w:ascii="Times New Roman" w:hAnsi="Times New Roman" w:cs="Times New Roman"/>
        </w:rPr>
        <w:instrText xml:space="preserve"> ADDIN ZOTERO_ITEM CSL_CITATION {"citationID":"OxJqV7qy","properties":{"formattedCitation":"(Adelman et al., 2015; Hawley et al., 2007; Moyers et al., 2018)","plainCitation":"(Adelman et al., 2015; Hawley et al., 2007; Moyers et al., 2018)","noteIndex":0},"citationItems":[{"id":11943,"uris":["http://zotero.org/users/6240348/items/7TY2MALJ"],"itemData":{"id":11943,"type":"article-journal","abstract":"Individual heterogeneity can influence the dynamics of infectious diseases in wildlife and humans alike. Thus, recent work has sought to identify behavioural characteristics that contribute disproportionately to individual variation in pathogen acquisition (super-receiving) or transmission (super-spreading). However, it remains unknown whether the same behaviours enhance both acquisition and transmission, a scenario likely to result in explosive epidemics. Here, we examined this possibility in an ecologically relevant host–pathogen system: house finches and their bacterial pathogen,\n              Mycoplasma gallisepticum\n              , which causes severe conjunctivitis. We examined behaviours likely to influence disease acquisition (feeder use, aggression, social network affiliations) in an observational field study, finding that the time an individual spends on bird feeders best predicted the risk of conjunctivitis. To test whether this behaviour also influences the likelihood of transmitting\n              M. gallisepticum\n              , we experimentally inoculated individuals based on feeding behaviour and tracked epidemics within captive flocks. As predicted, transmission was fastest when birds that spent the most time on feeders initiated the epidemic. Our results suggest that the same behaviour underlies both pathogen acquisition and transmission in this system and potentially others. Identifying individuals that exhibit such behaviours is critical for disease management.","container-title":"Proceedings of the Royal Society B: Biological Sciences","DOI":"10.1098/rspb.2015.1429","ISSN":"0962-8452, 1471-2954","issue":"1815","journalAbbreviation":"Proc. R. Soc. B.","language":"en","page":"20151429","source":"DOI.org (Crossref)","title":"Feeder use predicts both acquisition and transmission of a contagious pathogen in a North American songbird","volume":"282","author":[{"family":"Adelman","given":"James S."},{"family":"Moyers","given":"Sahnzi C."},{"family":"Farine","given":"Damien R."},{"family":"Hawley","given":"Dana M."}],"issued":{"date-parts":[["2015",9,22]]}}},{"id":13605,"uris":["http://zotero.org/users/6240348/items/R3RCDN57"],"itemData":{"id":13605,"type":"article-journal","container-title":"Functional Ecology","DOI":"10.1111/j.1365-2435.2007.01254.x","ISSN":"0269-8463, 1365-2435","issue":"3","journalAbbreviation":"Funct Ecology","language":"en","page":"520-527","source":"DOI.org (Crossref)","title":"Pathogen resistance and immunocompetence covary with social status in house finches (Carpodacus mexicanus)","volume":"21","author":[{"family":"Hawley","given":"D. M."},{"family":"Jennelle","given":"C. S."},{"family":"Sydenstricker","given":"K. V."},{"family":"Dhondt","given":"A. A."}],"issued":{"date-parts":[["2007",6]]}}},{"id":11921,"uris":["http://zotero.org/users/6240348/items/MQBD9XVR"],"itemData":{"id":11921,"type":"article-journal","abstract":"Anthropogenic food provisioning of wildlife can alter the frequency of contacts among hosts and between hosts and environmental sources of pathogens. Despite the popularity of garden bird feeding, few studies have addressed how feeders influence host contact rates and disease dynamics. We experimentally manipulated feeder density in replicate aviaries containing captive, pathogen-naive, groups of house finches (\n              Haemorhous mexicanus\n              ) and continuously tracked behaviours at feeders using radio-frequency identification devices. We then inoculated one bird per group with\n              Mycoplasma gallisepticum\n              (Mg), a common bacterial pathogen for which feeders are fomites of transmission, and assessed effects of feeder density on house finch behaviour and pathogen transmission. We found that pathogen transmission was significantly higher in groups with the highest density of bird feeders, despite a significantly lower rate of intraspecific aggressive interactions relative to the low feeder density groups. Conversely, among naive group members that never showed signs of disease, we saw significantly higher concentrations of Mg-specific antibodies in low feeder density groups, suggesting that birds in low feeder density treatments had exposure to subclinical doses of Mg. We discuss ways in which the density of garden bird feeders could play an important role in mediating the intensity of Mg epidemics.\n            \n            This article is part of the theme issue ‘Anthropogenic resource subsidies and host–parasite dynamics in wildlife'.","container-title":"Philosophical Transactions of the Royal Society B: Biological Sciences","DOI":"10.1098/rstb.2017.0090","ISSN":"0962-8436, 1471-2970","issue":"1745","journalAbbreviation":"Phil. Trans. R. Soc. B","language":"en","page":"20170090","source":"DOI.org (Crossref)","title":"Feeder density enhances house finch disease transmission in experimental epidemics","volume":"373","author":[{"family":"Moyers","given":"Sahnzi C."},{"family":"Adelman","given":"James S."},{"family":"Farine","given":"Damien R."},{"family":"Thomason","given":"Courtney A."},{"family":"Hawley","given":"Dana M."}],"issued":{"date-parts":[["2018",5,5]]}}}],"schema":"https://github.com/citation-style-language/schema/raw/master/csl-citation.json"} </w:instrText>
      </w:r>
      <w:r>
        <w:rPr>
          <w:rFonts w:ascii="Times New Roman" w:hAnsi="Times New Roman" w:cs="Times New Roman"/>
        </w:rPr>
        <w:fldChar w:fldCharType="separate"/>
      </w:r>
      <w:r w:rsidR="00EF4835">
        <w:rPr>
          <w:rFonts w:ascii="Times New Roman" w:hAnsi="Times New Roman" w:cs="Times New Roman"/>
          <w:noProof/>
        </w:rPr>
        <w:t>(Adelman et al., 2015; Hawley et al., 2007; Moyers et al., 2018)</w:t>
      </w:r>
      <w:r>
        <w:rPr>
          <w:rFonts w:ascii="Times New Roman" w:hAnsi="Times New Roman" w:cs="Times New Roman"/>
        </w:rPr>
        <w:fldChar w:fldCharType="end"/>
      </w:r>
      <w:r w:rsidR="00EF4835">
        <w:rPr>
          <w:rFonts w:ascii="Times New Roman" w:hAnsi="Times New Roman" w:cs="Times New Roman"/>
        </w:rPr>
        <w:t>. However, the evidence is inconsistent as</w:t>
      </w:r>
      <w:r w:rsidR="00757608">
        <w:rPr>
          <w:rFonts w:ascii="Times New Roman" w:hAnsi="Times New Roman" w:cs="Times New Roman"/>
        </w:rPr>
        <w:t xml:space="preserve"> some</w:t>
      </w:r>
      <w:r w:rsidR="002278C9">
        <w:rPr>
          <w:rFonts w:ascii="Times New Roman" w:hAnsi="Times New Roman" w:cs="Times New Roman"/>
        </w:rPr>
        <w:t xml:space="preserve"> </w:t>
      </w:r>
      <w:r w:rsidR="00EF4835">
        <w:rPr>
          <w:rFonts w:ascii="Times New Roman" w:hAnsi="Times New Roman" w:cs="Times New Roman"/>
        </w:rPr>
        <w:t xml:space="preserve">studies have </w:t>
      </w:r>
      <w:r w:rsidR="002278C9">
        <w:rPr>
          <w:rFonts w:ascii="Times New Roman" w:hAnsi="Times New Roman" w:cs="Times New Roman"/>
        </w:rPr>
        <w:t>f</w:t>
      </w:r>
      <w:r w:rsidR="00EF4835">
        <w:rPr>
          <w:rFonts w:ascii="Times New Roman" w:hAnsi="Times New Roman" w:cs="Times New Roman"/>
        </w:rPr>
        <w:t>ound</w:t>
      </w:r>
      <w:r w:rsidR="002278C9">
        <w:rPr>
          <w:rFonts w:ascii="Times New Roman" w:hAnsi="Times New Roman" w:cs="Times New Roman"/>
        </w:rPr>
        <w:t xml:space="preserve"> greater pathology in females </w:t>
      </w:r>
      <w:r w:rsidR="002278C9">
        <w:rPr>
          <w:rFonts w:ascii="Times New Roman" w:hAnsi="Times New Roman" w:cs="Times New Roman"/>
        </w:rPr>
        <w:fldChar w:fldCharType="begin"/>
      </w:r>
      <w:r w:rsidR="00757608">
        <w:rPr>
          <w:rFonts w:ascii="Times New Roman" w:hAnsi="Times New Roman" w:cs="Times New Roman"/>
        </w:rPr>
        <w:instrText xml:space="preserve"> ADDIN ZOTERO_ITEM CSL_CITATION {"citationID":"Sz40la75","properties":{"formattedCitation":"(Altizer et al., 2004; Leon &amp; Hawley, 2017)","plainCitation":"(Altizer et al., 2004; Leon &amp; Hawley, 2017)","noteIndex":0},"citationItems":[{"id":11917,"uris":["http://zotero.org/users/6240348/items/CWLQG3HV"],"itemData":{"id":11917,"type":"article-journal","abstract":"1. Mycoplasma gallisepticum is an emergingcye disease that spread rapidly among wild house finches (Carpodacus mexicanus) in the eastern United States following initial reports of infected birds in 1994. The hallmark signs of infection have allowed systematic monitoring of disease at both local and continent-wide scales for more than 7 years since the onset of the epidemic. 2. Using data collected by a network of citizen science volunteers, we examined both long-term trends and seasonal dynamics of mycoplasmal conjunctivitis in three different climatic regions in eastern North America over a 77-month period (November 1994-March 2001). 3. Time-series prevalence data from all three regions suggest that following establishment, marked seasonal fluctuations in prevalence each year were characterized by autumn-winter epidemics (in October and February) and consistent summer declines (with prevalence falling close to zero from May to July). 4. The maximum peak, annual rates of increase and timing of epidemics varied among three geographical locations that were delineated by minimum winter temperatures. Annual autumn prevalence in the South increased more rapidly, and maximum prevalence was nearly three times greater in the South than in the colder North and Central regions. 5. Longer-term trends showed evidence for multiyear fluctuations in prevalence that were characterized by greater amplitude in the southern region. 6. Finally, monthly estimates of house finch flock sizes derived from a similar citizen science data set showed that winter flock sizes were associated positively with average monthly prevalence in the northern and central regions, although regional differences in flock sizes did not correspond to regional differences in maximum prevalence. 7. This study represents the first evidence of multiyear fluctuations, regional differences and highly predictable annual outbreaks of this recently emerged wildlife pathogen. Several factors associated with house finch life history and behaviour are likely to contribute to temporal and spatial variation in prevalence, including annual changes in host reproduction, social behaviour and environmental effects on host stress or immunocompetence.","container-title":"Journal of Animal Ecology","ISSN":"0021-8790","issue":"2","note":"publisher: [Wiley, British Ecological Society]","page":"309-322","source":"JSTOR","title":"Seasonal Dynamics of Mycoplasmal Conjunctivitis in Eastern North American House Finches","volume":"73","author":[{"family":"Altizer","given":"Sonia"},{"family":"Hochachka","given":"Wesley M."},{"family":"Dhondt","given":"André A."}],"issued":{"date-parts":[["2004"]]}}},{"id":13665,"uris":["http://zotero.org/users/6240348/items/37JHZ55E"],"itemData":{"id":13665,"type":"article-journal","container-title":"Ecohealth","note":"publisher: Springer","page":"793–804","title":"Host responses to pathogen priming in a natural songbird host","volume":"14","author":[{"family":"Leon","given":"Ariel E"},{"family":"Hawley","given":"Dana M"}],"issued":{"date-parts":[["2017"]]}}}],"schema":"https://github.com/citation-style-language/schema/raw/master/csl-citation.json"} </w:instrText>
      </w:r>
      <w:r w:rsidR="002278C9">
        <w:rPr>
          <w:rFonts w:ascii="Times New Roman" w:hAnsi="Times New Roman" w:cs="Times New Roman"/>
        </w:rPr>
        <w:fldChar w:fldCharType="separate"/>
      </w:r>
      <w:r w:rsidR="00757608">
        <w:rPr>
          <w:rFonts w:ascii="Times New Roman" w:hAnsi="Times New Roman" w:cs="Times New Roman"/>
          <w:noProof/>
        </w:rPr>
        <w:t>(Altizer et al., 2004; Leon &amp; Hawley, 2017)</w:t>
      </w:r>
      <w:r w:rsidR="002278C9">
        <w:rPr>
          <w:rFonts w:ascii="Times New Roman" w:hAnsi="Times New Roman" w:cs="Times New Roman"/>
        </w:rPr>
        <w:fldChar w:fldCharType="end"/>
      </w:r>
      <w:r w:rsidR="00EF4835">
        <w:rPr>
          <w:rFonts w:ascii="Times New Roman" w:hAnsi="Times New Roman" w:cs="Times New Roman"/>
        </w:rPr>
        <w:t xml:space="preserve"> and many find no difference between sexes </w:t>
      </w:r>
      <w:r w:rsidR="00EF4835">
        <w:rPr>
          <w:rFonts w:ascii="Times New Roman" w:hAnsi="Times New Roman" w:cs="Times New Roman"/>
        </w:rPr>
        <w:fldChar w:fldCharType="begin"/>
      </w:r>
      <w:r w:rsidR="00EF4835">
        <w:rPr>
          <w:rFonts w:ascii="Times New Roman" w:hAnsi="Times New Roman" w:cs="Times New Roman"/>
        </w:rPr>
        <w:instrText xml:space="preserve"> ADDIN ZOTERO_ITEM CSL_CITATION {"citationID":"fLMwu7In","properties":{"formattedCitation":"(Sydenstricker et al., 2006; Thomason et al., 2017; Vinkler et al., 2018; Weitzman et al., 2021)","plainCitation":"(Sydenstricker et al., 2006; Thomason et al., 2017; Vinkler et al., 2018; Weitzman et al., 2021)","noteIndex":0},"citationItems":[{"id":13117,"uris":["http://zotero.org/users/6240348/items/TV9U5GQP"],"itemData":{"id":13117,"type":"article-journal","container-title":"Avian Diseases","DOI":"10.1637/7403-062805R.1","ISSN":"0005-2086, 1938-4351","issue":"1","journalAbbreviation":"Avian Diseases","language":"en","page":"39-44","source":"DOI.org (Crossref)","title":"Characterization of Experimental Mycoplasma gallisepticum Infection in Captive House Finch Flocks","volume":"50","author":[{"family":"Sydenstricker","given":"Keila V."},{"family":"Dhondt","given":"André A."},{"family":"Hawley","given":"Dana M."},{"family":"Jennelle","given":"Christopher S."},{"family":"Kollias","given":"Heidi W."},{"family":"Kollias","given":"George V."}],"issued":{"date-parts":[["2006",3]]}}},{"id":13667,"uris":["http://zotero.org/users/6240348/items/WVZGELSJ"],"itemData":{"id":13667,"type":"article-journal","container-title":"Scientific Reports","issue":"1","note":"publisher: Nature Publishing Group UK London","page":"16177","title":"Resident microbiome disruption with antibiotics enhances virulence of a colonizing pathogen","volume":"7","author":[{"family":"Thomason","given":"Courtney A"},{"family":"Mullen","given":"Nathan"},{"family":"Belden","given":"Lisa K"},{"family":"May","given":"Meghan"},{"family":"Hawley","given":"Dana M"}],"issued":{"date-parts":[["2017"]]}}},{"id":11918,"uris":["http://zotero.org/users/6240348/items/MGZFYKCU"],"itemData":{"id":11918,"type":"article-journal","abstract":"The recent emergence of the poultry bacterial pathogen Mycoplasma gallisepticum (MG) in free-living house finches (Haemorhous mexicanus), which causes mycoplasmal conjunctivitis in this passerine bird species, resulted in a rapid co-evolutionary arms-race between MG and its novel avian host. Despite extensive research on the ecological and evolutionary dynamics of this host-pathogen system over the past two decades, the immunological responses of house finches to MG infection remain poorly understood. We developed seven new probe-based one-step RT-qPCR assays to investigate mRNA expression of house finch cytokine genes (IL1B, IL6, IL10, IL18, TGFB2, TNFSF15 and CXCLi2, syn. IL8L). These assays were then used to describe cytokine transcription profiles in a panel of 15 house finch tissues collected at three distinct time points during MG infection. Based on initial screening that indicated strong pro-inflammatory cytokine expression during MG infection at the periorbital sites in particular, we selected two key house finch tissues for further characterization: the nictitating membrane, i.e. the internal eyelid in direct contact with MG, and the Harderian gland, the secondary lymphoid tissue responsible for regulation of periorbital immunity. We characterized cytokine responses in these two tissues for sixty house finches experimentally inoculated either with media alone (sham) or one of two MG isolates: the earliest known pathogen isolate from house finches (VA1994) or an evolutionarily more derived isolate collected in 2006 (NC2006), which is known to be more virulent. We show that the more derived and virulent isolate NC2006, relative to VA1994, triggers stronger local inflammatory cytokine signalling, with peak cytokine expression generally occurring three to six days following MG inoculation. We also found that the extent of pro-inflammatory interleukin 1 beta signalling was correlated with conjunctival MG loads and the extent of clinical signs of conjunctivitis, the main pathological effect of MG in house finches. These results suggest that the pathogenicity caused by MG infection in house finches is largely mediated by host pro-inflammatory immune responses, with important implications for the dynamics of host-pathogen co-evolution.","container-title":"Frontiers in Immunology","DOI":"10.3389/fimmu.2018.00013","ISSN":"1664-3224","journalAbbreviation":"Front. Immunol.","language":"English","note":"publisher: Frontiers","source":"Frontiers","title":"Differing House Finch Cytokine Expression Responses to Original and Evolved Isolates of Mycoplasma gallisepticum","URL":"https://www.frontiersin.org/articles/10.3389/fimmu.2018.00013/full","volume":"9","author":[{"family":"Vinkler","given":"Michal"},{"family":"Leon","given":"Ariel E."},{"family":"Kirkpatrick","given":"Laila"},{"family":"Dalloul","given":"Rami A."},{"family":"Hawley","given":"Dana M."}],"accessed":{"date-parts":[["2020",12,1]]},"issued":{"date-parts":[["2018"]]}}},{"id":13668,"uris":["http://zotero.org/users/6240348/items/B3PWNUDQ"],"itemData":{"id":13668,"type":"article-journal","container-title":"FEMS Microbiology Ecology","issue":"11","note":"publisher: Oxford University Press","page":"fiab141","title":"Experimental test of microbiome protection across pathogen doses reveals importance of resident microbiome composition","volume":"97","author":[{"family":"Weitzman","given":"Chava L"},{"family":"Rostama","given":"Bahman"},{"family":"Thomason","given":"Courtney A"},{"family":"May","given":"Meghan"},{"family":"Belden","given":"Lisa K"},{"family":"Hawley","given":"Dana M"}],"issued":{"date-parts":[["2021"]]}}}],"schema":"https://github.com/citation-style-language/schema/raw/master/csl-citation.json"} </w:instrText>
      </w:r>
      <w:r w:rsidR="00EF4835">
        <w:rPr>
          <w:rFonts w:ascii="Times New Roman" w:hAnsi="Times New Roman" w:cs="Times New Roman"/>
        </w:rPr>
        <w:fldChar w:fldCharType="separate"/>
      </w:r>
      <w:r w:rsidR="00EF4835">
        <w:rPr>
          <w:rFonts w:ascii="Times New Roman" w:hAnsi="Times New Roman" w:cs="Times New Roman"/>
          <w:noProof/>
        </w:rPr>
        <w:t>(Sydenstricker et al., 2006; Thomason et al., 2017; Vinkler et al., 2018; Weitzman et al., 2021)</w:t>
      </w:r>
      <w:r w:rsidR="00EF4835">
        <w:rPr>
          <w:rFonts w:ascii="Times New Roman" w:hAnsi="Times New Roman" w:cs="Times New Roman"/>
        </w:rPr>
        <w:fldChar w:fldCharType="end"/>
      </w:r>
      <w:r>
        <w:rPr>
          <w:rFonts w:ascii="Times New Roman" w:hAnsi="Times New Roman" w:cs="Times New Roman"/>
        </w:rPr>
        <w:t xml:space="preserve">. </w:t>
      </w:r>
      <w:r w:rsidR="001D6CE8">
        <w:rPr>
          <w:rFonts w:ascii="Times New Roman" w:hAnsi="Times New Roman" w:cs="Times New Roman"/>
        </w:rPr>
        <w:t xml:space="preserve">Robust studies explicitly testing for sex-biased resistance in house finch populations are lacking and needed to better understand these dynamics. </w:t>
      </w:r>
      <w:r w:rsidR="00AA31CE">
        <w:rPr>
          <w:rFonts w:ascii="Times New Roman" w:hAnsi="Times New Roman" w:cs="Times New Roman"/>
          <w:bCs/>
        </w:rPr>
        <w:t xml:space="preserve">Experiments on juvenile birds could be especially informative, as this age class is the largest group of naïve individuals and differential pathology or behavior in the class remains unexplored. </w:t>
      </w:r>
      <w:r>
        <w:rPr>
          <w:rFonts w:ascii="Times New Roman" w:hAnsi="Times New Roman" w:cs="Times New Roman"/>
        </w:rPr>
        <w:t xml:space="preserve">The transmission model simulations that varied population sex-ratio supported male-biased MG transmission. Epidemic size drastically increased with the proportion of birds that were male, increasing by </w:t>
      </w:r>
      <w:r w:rsidR="00EA0D5F">
        <w:rPr>
          <w:rFonts w:ascii="Times New Roman" w:hAnsi="Times New Roman" w:cs="Times New Roman"/>
        </w:rPr>
        <w:t>872</w:t>
      </w:r>
      <w:r>
        <w:rPr>
          <w:rFonts w:ascii="Times New Roman" w:hAnsi="Times New Roman" w:cs="Times New Roman"/>
        </w:rPr>
        <w:t xml:space="preserve">% from the all-female to the all-male simulation. Further, </w:t>
      </w:r>
      <w:r w:rsidR="00EA0D5F">
        <w:rPr>
          <w:rFonts w:ascii="Times New Roman" w:hAnsi="Times New Roman" w:cs="Times New Roman"/>
        </w:rPr>
        <w:t>peak prevalence more than</w:t>
      </w:r>
      <w:r>
        <w:rPr>
          <w:rFonts w:ascii="Times New Roman" w:hAnsi="Times New Roman" w:cs="Times New Roman"/>
        </w:rPr>
        <w:t xml:space="preserve"> halved when we simulated 50:50 epidemics where male recovery and incubation rates were equivalent to female rates</w:t>
      </w:r>
      <w:r w:rsidR="003D55F2">
        <w:rPr>
          <w:rFonts w:ascii="Times New Roman" w:hAnsi="Times New Roman" w:cs="Times New Roman"/>
        </w:rPr>
        <w:t>,</w:t>
      </w:r>
      <w:r>
        <w:rPr>
          <w:rFonts w:ascii="Times New Roman" w:hAnsi="Times New Roman" w:cs="Times New Roman"/>
        </w:rPr>
        <w:t xml:space="preserve"> providing further evidence that lower resistance in males is largely driving sex-biased transmission dynamics. </w:t>
      </w:r>
      <w:r w:rsidR="00D45293">
        <w:rPr>
          <w:rFonts w:ascii="Times New Roman" w:hAnsi="Times New Roman" w:cs="Times New Roman"/>
        </w:rPr>
        <w:t xml:space="preserve">Our single-season model assumes full immunity after </w:t>
      </w:r>
      <w:r w:rsidR="00A157B6">
        <w:rPr>
          <w:rFonts w:ascii="Times New Roman" w:hAnsi="Times New Roman" w:cs="Times New Roman"/>
        </w:rPr>
        <w:t>infection,</w:t>
      </w:r>
      <w:r w:rsidR="00D45293">
        <w:rPr>
          <w:rFonts w:ascii="Times New Roman" w:hAnsi="Times New Roman" w:cs="Times New Roman"/>
        </w:rPr>
        <w:t xml:space="preserve"> but it is </w:t>
      </w:r>
      <w:r w:rsidR="00D45293">
        <w:rPr>
          <w:rFonts w:ascii="Times New Roman" w:hAnsi="Times New Roman" w:cs="Times New Roman"/>
        </w:rPr>
        <w:lastRenderedPageBreak/>
        <w:t xml:space="preserve">possible that sex-biased differences in loss of immunity may exist as well, potentially exacerbating the sex-bias we find in the study. </w:t>
      </w:r>
    </w:p>
    <w:p w14:paraId="630D4372" w14:textId="4A7EC829" w:rsidR="00FE2A33" w:rsidRDefault="00FE2A33" w:rsidP="00FE2A33">
      <w:pPr>
        <w:spacing w:line="480" w:lineRule="auto"/>
        <w:ind w:firstLine="360"/>
        <w:rPr>
          <w:rFonts w:ascii="Times New Roman" w:hAnsi="Times New Roman" w:cs="Times New Roman"/>
        </w:rPr>
      </w:pPr>
      <w:r>
        <w:rPr>
          <w:rFonts w:ascii="Times New Roman" w:hAnsi="Times New Roman" w:cs="Times New Roman"/>
        </w:rPr>
        <w:t>The mechanism driving female-biased resistance</w:t>
      </w:r>
      <w:r w:rsidR="007E62E1">
        <w:rPr>
          <w:rFonts w:ascii="Times New Roman" w:hAnsi="Times New Roman" w:cs="Times New Roman"/>
        </w:rPr>
        <w:t xml:space="preserve"> (ability to prevent or limit pathogen growth)</w:t>
      </w:r>
      <w:r>
        <w:rPr>
          <w:rFonts w:ascii="Times New Roman" w:hAnsi="Times New Roman" w:cs="Times New Roman"/>
        </w:rPr>
        <w:t xml:space="preserve"> </w:t>
      </w:r>
      <w:r w:rsidR="00C009D1">
        <w:rPr>
          <w:rFonts w:ascii="Times New Roman" w:hAnsi="Times New Roman" w:cs="Times New Roman"/>
        </w:rPr>
        <w:t xml:space="preserve">in canaries </w:t>
      </w:r>
      <w:r>
        <w:rPr>
          <w:rFonts w:ascii="Times New Roman" w:hAnsi="Times New Roman" w:cs="Times New Roman"/>
        </w:rPr>
        <w:t xml:space="preserve">is unclear though we did find that prior to exposure, females had higher levels of circulating eosinophils than males. While the function of eosinophils in birds is unclear, they have been associated with greater body condition and parasite resistance in passerines </w:t>
      </w:r>
      <w:r>
        <w:rPr>
          <w:rFonts w:ascii="Times New Roman" w:hAnsi="Times New Roman" w:cs="Times New Roman"/>
        </w:rPr>
        <w:fldChar w:fldCharType="begin"/>
      </w:r>
      <w:r>
        <w:rPr>
          <w:rFonts w:ascii="Times New Roman" w:hAnsi="Times New Roman" w:cs="Times New Roman"/>
        </w:rPr>
        <w:instrText xml:space="preserve"> ADDIN ZOTERO_ITEM CSL_CITATION {"citationID":"0R7QdjoF","properties":{"formattedCitation":"(Deem et al., 2011; Owen et al., 2013; Owen &amp; Moore, 2008)","plainCitation":"(Deem et al., 2011; Owen et al., 2013; Owen &amp; Moore, 2008)","noteIndex":0},"citationItems":[{"id":13177,"uris":["http://zotero.org/users/6240348/items/8IVQP4II"],"itemData":{"id":13177,"type":"article-journal","abstract":"Evidence suggests that the ability of an animal to maintain its immune system and (or) mount an immune response depends on its nutritional health and energetic condition. Migration is a period within an animal’s annual cycle when energetic condition varies, especially after a long, nonstop flight over a large ecological barrier. Our objective was to determine if measures of immune function in migrating Wood Thrush ( Hylocichla mustelina (J.F. Gmelin, 1789)), Swainson’s Thrush ( Catharus ustulatus (Nuttall, 1840)), Gray-cheeked Thrush ( Catharus minimus (Lafresnaye, 1848)), and Veery ( Catharus fuscescens (Stephens, 1817)) were related to the energetic condition of the birds at a stopover site during spring migration. We present data on total leukocyte, lymphocyte, and heterophil counts, heterophil/lymphocyte ratio, serum immunoglobulin gamma G (IgG) concentration, and immune response to phytohemagglutinin. Thrushes arriving at the stopover site in poor energetic condition had low leukocyte and lymphocyte counts. Heterophil/lymphocyte ratio, heterophil count, and IgG concentration were not related to energetic condition. Furthermore, immune response to phytohemagglutinin was positively related to change in mass and days spent in captivity, suggesting that immune function may improve during stopover. We suggest that migrating thrushes arriving at a stopover site in poor energetic condition may also be in poor immunological condition and may have increased susceptibility to disease or parasite infection.","container-title":"Canadian Journal of Zoology","DOI":"10.1139/Z08-038","ISSN":"0008-4301, 1480-3283","issue":"7","journalAbbreviation":"Can. J. Zool.","language":"en","page":"638-647","source":"DOI.org (Crossref)","title":"Relationship between energetic condition and indicators of immune function in thrushes during spring migration","volume":"86","author":[{"family":"Owen","given":"J. C."},{"family":"Moore","given":"F. R."}],"issued":{"date-parts":[["2008",7]]}}},{"id":13174,"uris":["http://zotero.org/users/6240348/items/U9MTZIXV"],"itemData":{"id":13174,"type":"article-journal","container-title":"Journal of Wildlife Diseases","DOI":"10.7589/0090-3558-47.1.94","ISSN":"0090-3558","issue":"1","journalAbbreviation":"Journal of Wildlife Diseases","language":"en","page":"94-106","source":"DOI.org (Crossref)","title":"Comparison of blood values and health status of Floreana Mockingbirds (Mimus trifasciatus) on the islands of Champion and Gardner-by-Floreana, Galápagos Islands","volume":"47","author":[{"family":"Deem","given":"Sharon L."},{"family":"Parker","given":"Patricia G."},{"family":"Cruz","given":"Marilyn B."},{"family":"Merkel","given":"Jane"},{"family":"Hoeck","given":"Paquita E. A."}],"issued":{"date-parts":[["2011",1]]}}},{"id":13179,"uris":["http://zotero.org/users/6240348/items/SQLX9TVB"],"itemData":{"id":13179,"type":"article-journal","container-title":"Avian Diseases","DOI":"10.1637/10574-051513-Reg.1","ISSN":"0005-2086, 1938-4351","issue":"4","journalAbbreviation":"Avian Diseases","language":"en","page":"744-749","source":"DOI.org (Crossref)","title":"Leukocyte Response to Eastern Equine Encephalomyelitis Virus in a Wild Passerine Bird","volume":"57","author":[{"family":"Owen","given":"J. C."},{"family":"Cornelius","given":"E. A."},{"family":"Arsnoe","given":"D. A."},{"family":"Garvin","given":"M. C."}],"issued":{"date-parts":[["2013",12]]}}}],"schema":"https://github.com/citation-style-language/schema/raw/master/csl-citation.json"}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(Deem et al., 2011; Owen et al., 2013; Owen &amp; Moore, 2008)</w:t>
      </w:r>
      <w:r>
        <w:rPr>
          <w:rFonts w:ascii="Times New Roman" w:hAnsi="Times New Roman" w:cs="Times New Roman"/>
        </w:rPr>
        <w:fldChar w:fldCharType="end"/>
      </w:r>
      <w:r>
        <w:rPr>
          <w:rFonts w:ascii="Times New Roman" w:hAnsi="Times New Roman" w:cs="Times New Roman"/>
        </w:rPr>
        <w:t xml:space="preserve">. After exposure, MG exposed males produced more MG-specific antibodies and increased eosinophils to levels equal to those females had prior to exposure. This larger induced immune response in males is likely a response to their higher pathogen burdens as the larger response did not translate to faster recovery times or lower MG loads. This result supports prior literature on female immunocompetence </w:t>
      </w:r>
      <w:r>
        <w:rPr>
          <w:rFonts w:ascii="Times New Roman" w:hAnsi="Times New Roman" w:cs="Times New Roman"/>
        </w:rPr>
        <w:fldChar w:fldCharType="begin"/>
      </w:r>
      <w:r>
        <w:rPr>
          <w:rFonts w:ascii="Times New Roman" w:hAnsi="Times New Roman" w:cs="Times New Roman"/>
        </w:rPr>
        <w:instrText xml:space="preserve"> ADDIN ZOTERO_ITEM CSL_CITATION {"citationID":"sXBRZF8I","properties":{"formattedCitation":"(Zuk &amp; McKean, 1996)","plainCitation":"(Zuk &amp; McKean, 1996)","noteIndex":0},"citationItems":[{"id":13142,"uris":["http://zotero.org/users/6240348/items/LS4LAJ3I"],"itemData":{"id":13142,"type":"article-journal","container-title":"International Journal for Parasitology","DOI":"10.1016/S0020-7519(96)80001-4","ISSN":"00207519","issue":"10","journalAbbreviation":"International Journal for Parasitology","language":"en","page":"1009-1024","source":"DOI.org (Crossref)","title":"Sex differences in parasite infections: Patterns and processes","title-short":"Sex differences in parasite infections","volume":"26","author":[{"family":"Zuk","given":"Marlene"},{"family":"McKean","given":"Kurt A."}],"issued":{"date-parts":[["1996",10]]}}}],"schema":"https://github.com/citation-style-language/schema/raw/master/csl-citation.json"}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(Zuk &amp; McKean, 1996)</w:t>
      </w:r>
      <w:r>
        <w:rPr>
          <w:rFonts w:ascii="Times New Roman" w:hAnsi="Times New Roman" w:cs="Times New Roman"/>
        </w:rPr>
        <w:fldChar w:fldCharType="end"/>
      </w:r>
      <w:r>
        <w:rPr>
          <w:rFonts w:ascii="Times New Roman" w:hAnsi="Times New Roman" w:cs="Times New Roman"/>
        </w:rPr>
        <w:t xml:space="preserve"> as females were able to resist MG growth, resulting in lower pathology and faster recovery. Ultimately, further research is needed to reveal the proximate mechanisms that support greater immunocompetence in females than males. </w:t>
      </w:r>
    </w:p>
    <w:p w14:paraId="0EE15AA3" w14:textId="3A6E24BB" w:rsidR="00FE2A33" w:rsidRDefault="00926C2E" w:rsidP="00FE2A33">
      <w:pPr>
        <w:spacing w:line="480" w:lineRule="auto"/>
        <w:ind w:firstLine="360"/>
        <w:rPr>
          <w:rFonts w:ascii="Times New Roman" w:hAnsi="Times New Roman" w:cs="Times New Roman"/>
          <w:bCs/>
        </w:rPr>
      </w:pPr>
      <w:r>
        <w:rPr>
          <w:rFonts w:ascii="Times New Roman" w:hAnsi="Times New Roman" w:cs="Times New Roman"/>
          <w:bCs/>
        </w:rPr>
        <w:t>Using avian-MG host pathogen systems we found that male-biased</w:t>
      </w:r>
      <w:r w:rsidRPr="0060050A">
        <w:rPr>
          <w:rFonts w:ascii="Times New Roman" w:hAnsi="Times New Roman" w:cs="Times New Roman"/>
          <w:bCs/>
        </w:rPr>
        <w:t xml:space="preserve"> transmission </w:t>
      </w:r>
      <w:r>
        <w:rPr>
          <w:rFonts w:ascii="Times New Roman" w:hAnsi="Times New Roman" w:cs="Times New Roman"/>
          <w:bCs/>
        </w:rPr>
        <w:t xml:space="preserve">can, in part, </w:t>
      </w:r>
      <w:r w:rsidRPr="0060050A">
        <w:rPr>
          <w:rFonts w:ascii="Times New Roman" w:hAnsi="Times New Roman" w:cs="Times New Roman"/>
          <w:bCs/>
        </w:rPr>
        <w:t xml:space="preserve">be attributed to </w:t>
      </w:r>
      <w:r>
        <w:rPr>
          <w:rFonts w:ascii="Times New Roman" w:hAnsi="Times New Roman" w:cs="Times New Roman"/>
          <w:bCs/>
        </w:rPr>
        <w:t>male-bias</w:t>
      </w:r>
      <w:r w:rsidR="005902A3">
        <w:rPr>
          <w:rFonts w:ascii="Times New Roman" w:hAnsi="Times New Roman" w:cs="Times New Roman"/>
          <w:bCs/>
        </w:rPr>
        <w:t>ed</w:t>
      </w:r>
      <w:r>
        <w:rPr>
          <w:rFonts w:ascii="Times New Roman" w:hAnsi="Times New Roman" w:cs="Times New Roman"/>
          <w:bCs/>
        </w:rPr>
        <w:t xml:space="preserve"> pathology.</w:t>
      </w:r>
      <w:r w:rsidR="00FE2A33">
        <w:rPr>
          <w:rFonts w:ascii="Times New Roman" w:hAnsi="Times New Roman" w:cs="Times New Roman"/>
          <w:bCs/>
        </w:rPr>
        <w:t xml:space="preserve"> </w:t>
      </w:r>
      <w:r w:rsidR="00FE2A33">
        <w:rPr>
          <w:rFonts w:ascii="Times New Roman" w:hAnsi="Times New Roman" w:cs="Times New Roman"/>
        </w:rPr>
        <w:t xml:space="preserve">Sex, and thus sex-ratio of the susceptible population, can be an important source of heterogeneity in epidemics. However, </w:t>
      </w:r>
      <w:r w:rsidR="00FE2A33">
        <w:rPr>
          <w:rFonts w:ascii="Times New Roman" w:hAnsi="Times New Roman" w:cs="Times New Roman"/>
          <w:bCs/>
        </w:rPr>
        <w:t xml:space="preserve">direct assessment of sex-biased transmission driven by sex-based differences in </w:t>
      </w:r>
      <w:r w:rsidR="008F44CA">
        <w:rPr>
          <w:rFonts w:ascii="Times New Roman" w:hAnsi="Times New Roman" w:cs="Times New Roman"/>
          <w:bCs/>
        </w:rPr>
        <w:t xml:space="preserve">pathology </w:t>
      </w:r>
      <w:r w:rsidR="00FE2A33">
        <w:rPr>
          <w:rFonts w:ascii="Times New Roman" w:hAnsi="Times New Roman" w:cs="Times New Roman"/>
          <w:bCs/>
        </w:rPr>
        <w:t>in wildlife is largely unexplored</w:t>
      </w:r>
      <w:r>
        <w:rPr>
          <w:rFonts w:ascii="Times New Roman" w:hAnsi="Times New Roman" w:cs="Times New Roman"/>
          <w:bCs/>
        </w:rPr>
        <w:t xml:space="preserve"> with most studies focusing on </w:t>
      </w:r>
      <w:proofErr w:type="spellStart"/>
      <w:r>
        <w:rPr>
          <w:rFonts w:ascii="Times New Roman" w:hAnsi="Times New Roman" w:cs="Times New Roman"/>
          <w:bCs/>
        </w:rPr>
        <w:t>behavio</w:t>
      </w:r>
      <w:r w:rsidR="00592638">
        <w:rPr>
          <w:rFonts w:ascii="Times New Roman" w:hAnsi="Times New Roman" w:cs="Times New Roman"/>
          <w:bCs/>
        </w:rPr>
        <w:t>u</w:t>
      </w:r>
      <w:r>
        <w:rPr>
          <w:rFonts w:ascii="Times New Roman" w:hAnsi="Times New Roman" w:cs="Times New Roman"/>
          <w:bCs/>
        </w:rPr>
        <w:t>ral</w:t>
      </w:r>
      <w:proofErr w:type="spellEnd"/>
      <w:r>
        <w:rPr>
          <w:rFonts w:ascii="Times New Roman" w:hAnsi="Times New Roman" w:cs="Times New Roman"/>
          <w:bCs/>
        </w:rPr>
        <w:t xml:space="preserve"> drivers of transmission</w:t>
      </w:r>
      <w:r w:rsidR="00FE2A33">
        <w:rPr>
          <w:rFonts w:ascii="Times New Roman" w:hAnsi="Times New Roman" w:cs="Times New Roman"/>
          <w:bCs/>
        </w:rPr>
        <w:t xml:space="preserve">. </w:t>
      </w:r>
      <w:r>
        <w:rPr>
          <w:rFonts w:ascii="Times New Roman" w:hAnsi="Times New Roman" w:cs="Times New Roman"/>
          <w:bCs/>
        </w:rPr>
        <w:t xml:space="preserve">Here, we demonstrate that sex-biased pathology, independent of </w:t>
      </w:r>
      <w:proofErr w:type="spellStart"/>
      <w:r>
        <w:rPr>
          <w:rFonts w:ascii="Times New Roman" w:hAnsi="Times New Roman" w:cs="Times New Roman"/>
          <w:bCs/>
        </w:rPr>
        <w:t>behavio</w:t>
      </w:r>
      <w:r w:rsidR="00592638">
        <w:rPr>
          <w:rFonts w:ascii="Times New Roman" w:hAnsi="Times New Roman" w:cs="Times New Roman"/>
          <w:bCs/>
        </w:rPr>
        <w:t>u</w:t>
      </w:r>
      <w:r>
        <w:rPr>
          <w:rFonts w:ascii="Times New Roman" w:hAnsi="Times New Roman" w:cs="Times New Roman"/>
          <w:bCs/>
        </w:rPr>
        <w:t>r</w:t>
      </w:r>
      <w:proofErr w:type="spellEnd"/>
      <w:r>
        <w:rPr>
          <w:rFonts w:ascii="Times New Roman" w:hAnsi="Times New Roman" w:cs="Times New Roman"/>
          <w:bCs/>
        </w:rPr>
        <w:t>, can have large impacts on transmission dynamics. While t</w:t>
      </w:r>
      <w:r w:rsidRPr="00DB0ABD">
        <w:rPr>
          <w:rFonts w:ascii="Times New Roman" w:hAnsi="Times New Roman" w:cs="Times New Roman"/>
          <w:bCs/>
        </w:rPr>
        <w:t xml:space="preserve">he role of </w:t>
      </w:r>
      <w:r>
        <w:rPr>
          <w:rFonts w:ascii="Times New Roman" w:hAnsi="Times New Roman" w:cs="Times New Roman"/>
          <w:bCs/>
        </w:rPr>
        <w:t xml:space="preserve">sex-biased immunity is often difficult to disentangle from </w:t>
      </w:r>
      <w:proofErr w:type="spellStart"/>
      <w:r>
        <w:rPr>
          <w:rFonts w:ascii="Times New Roman" w:hAnsi="Times New Roman" w:cs="Times New Roman"/>
          <w:bCs/>
        </w:rPr>
        <w:t>behaviour</w:t>
      </w:r>
      <w:proofErr w:type="spellEnd"/>
      <w:r w:rsidRPr="00DB0ABD">
        <w:rPr>
          <w:rFonts w:ascii="Times New Roman" w:hAnsi="Times New Roman" w:cs="Times New Roman"/>
          <w:bCs/>
        </w:rPr>
        <w:t xml:space="preserve">, </w:t>
      </w:r>
      <w:r>
        <w:rPr>
          <w:rFonts w:ascii="Times New Roman" w:hAnsi="Times New Roman" w:cs="Times New Roman"/>
          <w:bCs/>
        </w:rPr>
        <w:t>epidemic models parameterized by experimentally controlled exposures provide an opportunity to better understand how aspects of pathology contribute to transmission</w:t>
      </w:r>
      <w:r w:rsidRPr="00DB0ABD">
        <w:rPr>
          <w:rFonts w:ascii="Times New Roman" w:hAnsi="Times New Roman" w:cs="Times New Roman"/>
          <w:bCs/>
        </w:rPr>
        <w:t>.</w:t>
      </w:r>
      <w:r>
        <w:rPr>
          <w:rFonts w:ascii="Times New Roman" w:hAnsi="Times New Roman" w:cs="Times New Roman"/>
          <w:bCs/>
        </w:rPr>
        <w:t xml:space="preserve"> </w:t>
      </w:r>
    </w:p>
    <w:p w14:paraId="437CA02E" w14:textId="77777777" w:rsidR="003A3036" w:rsidRDefault="003A3036" w:rsidP="003A3036">
      <w:pPr>
        <w:spacing w:line="480" w:lineRule="auto"/>
        <w:rPr>
          <w:rFonts w:ascii="Times New Roman" w:hAnsi="Times New Roman" w:cs="Times New Roman"/>
          <w:b/>
        </w:rPr>
      </w:pPr>
      <w:r>
        <w:rPr>
          <w:rFonts w:ascii="Times New Roman" w:hAnsi="Times New Roman" w:cs="Times New Roman"/>
          <w:b/>
        </w:rPr>
        <w:lastRenderedPageBreak/>
        <w:t>Acknowledgments</w:t>
      </w:r>
    </w:p>
    <w:p w14:paraId="570A7EC8" w14:textId="5C85697F" w:rsidR="003A3036" w:rsidRDefault="003A3036" w:rsidP="003A3036">
      <w:pPr>
        <w:spacing w:line="480" w:lineRule="auto"/>
        <w:ind w:firstLine="360"/>
        <w:rPr>
          <w:rFonts w:ascii="Times New Roman" w:hAnsi="Times New Roman" w:cs="Times New Roman"/>
        </w:rPr>
      </w:pPr>
      <w:r>
        <w:rPr>
          <w:rFonts w:ascii="Times New Roman" w:hAnsi="Times New Roman" w:cs="Times New Roman"/>
        </w:rPr>
        <w:t>We thank James Adelman for providing helpful comments and discussion</w:t>
      </w:r>
      <w:r w:rsidR="007E62E1">
        <w:rPr>
          <w:rFonts w:ascii="Times New Roman" w:hAnsi="Times New Roman" w:cs="Times New Roman"/>
        </w:rPr>
        <w:t xml:space="preserve"> and two anonymous reviewers</w:t>
      </w:r>
      <w:r>
        <w:rPr>
          <w:rFonts w:ascii="Times New Roman" w:hAnsi="Times New Roman" w:cs="Times New Roman"/>
        </w:rPr>
        <w:t xml:space="preserve">. </w:t>
      </w:r>
      <w:r w:rsidRPr="00D84781">
        <w:rPr>
          <w:rFonts w:ascii="Times New Roman" w:hAnsi="Times New Roman" w:cs="Times New Roman"/>
        </w:rPr>
        <w:t xml:space="preserve">Funds were provided by grants </w:t>
      </w:r>
      <w:r>
        <w:rPr>
          <w:rFonts w:ascii="Times New Roman" w:hAnsi="Times New Roman" w:cs="Times New Roman"/>
        </w:rPr>
        <w:t xml:space="preserve">to S.E.D. </w:t>
      </w:r>
      <w:r w:rsidRPr="00D84781">
        <w:rPr>
          <w:rFonts w:ascii="Times New Roman" w:hAnsi="Times New Roman" w:cs="Times New Roman"/>
        </w:rPr>
        <w:t xml:space="preserve">from the </w:t>
      </w:r>
      <w:r>
        <w:rPr>
          <w:rFonts w:ascii="Times New Roman" w:hAnsi="Times New Roman" w:cs="Times New Roman"/>
        </w:rPr>
        <w:t>National Science Foundation (1941861) and Arkansas Biosciences Institute. Canary experimental methods were approved by the University of Arkansas International Animal Care and Use Committee.</w:t>
      </w:r>
    </w:p>
    <w:p w14:paraId="141E9A1A" w14:textId="77777777" w:rsidR="00FE2A33" w:rsidRDefault="00FE2A33" w:rsidP="00FE2A33">
      <w:pPr>
        <w:rPr>
          <w:rFonts w:ascii="Times New Roman" w:hAnsi="Times New Roman" w:cs="Times New Roman"/>
          <w:b/>
        </w:rPr>
      </w:pPr>
      <w:r>
        <w:rPr>
          <w:rFonts w:ascii="Times New Roman" w:hAnsi="Times New Roman" w:cs="Times New Roman"/>
          <w:b/>
        </w:rPr>
        <w:t>References</w:t>
      </w:r>
    </w:p>
    <w:p w14:paraId="72A1D668" w14:textId="77777777" w:rsidR="002639DC" w:rsidRPr="002639DC" w:rsidRDefault="00B65F5C" w:rsidP="002639DC">
      <w:pPr>
        <w:pStyle w:val="Bibliography"/>
        <w:rPr>
          <w:rFonts w:ascii="Calibri" w:cs="Calibri"/>
        </w:rPr>
      </w:pPr>
      <w:r>
        <w:t xml:space="preserve"> </w:t>
      </w:r>
      <w:r w:rsidR="002639DC">
        <w:fldChar w:fldCharType="begin"/>
      </w:r>
      <w:r w:rsidR="002639DC">
        <w:instrText xml:space="preserve"> ADDIN ZOTERO_BIBL {"uncited":[],"omitted":[],"custom":[]} CSL_BIBLIOGRAPHY </w:instrText>
      </w:r>
      <w:r w:rsidR="002639DC">
        <w:fldChar w:fldCharType="separate"/>
      </w:r>
      <w:r w:rsidR="002639DC" w:rsidRPr="002639DC">
        <w:rPr>
          <w:rFonts w:ascii="Calibri" w:cs="Calibri"/>
        </w:rPr>
        <w:t xml:space="preserve">Adelman, J. S., Kirkpatrick, L., Grodio, J. L., &amp; Hawley, D. M. (2013). House Finch Populations Differ in Early Inflammatory Signaling and Pathogen Tolerance at the Peak of </w:t>
      </w:r>
      <w:r w:rsidR="002639DC" w:rsidRPr="002639DC">
        <w:rPr>
          <w:rFonts w:ascii="Calibri" w:cs="Calibri"/>
          <w:i/>
          <w:iCs/>
        </w:rPr>
        <w:t>Mycoplasma gallisepticum</w:t>
      </w:r>
      <w:r w:rsidR="002639DC" w:rsidRPr="002639DC">
        <w:rPr>
          <w:rFonts w:ascii="Calibri" w:cs="Calibri"/>
        </w:rPr>
        <w:t xml:space="preserve"> Infection. </w:t>
      </w:r>
      <w:r w:rsidR="002639DC" w:rsidRPr="002639DC">
        <w:rPr>
          <w:rFonts w:ascii="Calibri" w:cs="Calibri"/>
          <w:i/>
          <w:iCs/>
        </w:rPr>
        <w:t>The American Naturalist</w:t>
      </w:r>
      <w:r w:rsidR="002639DC" w:rsidRPr="002639DC">
        <w:rPr>
          <w:rFonts w:ascii="Calibri" w:cs="Calibri"/>
        </w:rPr>
        <w:t xml:space="preserve">, </w:t>
      </w:r>
      <w:r w:rsidR="002639DC" w:rsidRPr="002639DC">
        <w:rPr>
          <w:rFonts w:ascii="Calibri" w:cs="Calibri"/>
          <w:i/>
          <w:iCs/>
        </w:rPr>
        <w:t>181</w:t>
      </w:r>
      <w:r w:rsidR="002639DC" w:rsidRPr="002639DC">
        <w:rPr>
          <w:rFonts w:ascii="Calibri" w:cs="Calibri"/>
        </w:rPr>
        <w:t>(5), 674–689. https://doi.org/10.1086/670024</w:t>
      </w:r>
    </w:p>
    <w:p w14:paraId="45AB3EB4" w14:textId="77777777" w:rsidR="002639DC" w:rsidRPr="002639DC" w:rsidRDefault="002639DC" w:rsidP="002639DC">
      <w:pPr>
        <w:pStyle w:val="Bibliography"/>
        <w:rPr>
          <w:rFonts w:ascii="Calibri" w:cs="Calibri"/>
        </w:rPr>
      </w:pPr>
      <w:r w:rsidRPr="002639DC">
        <w:rPr>
          <w:rFonts w:ascii="Calibri" w:cs="Calibri"/>
        </w:rPr>
        <w:t xml:space="preserve">Adelman, J. S., Moyers, S. C., Farine, D. R., &amp; Hawley, D. M. (2015). Feeder use predicts both acquisition and transmission of a contagious pathogen in a North American songbird. </w:t>
      </w:r>
      <w:r w:rsidRPr="002639DC">
        <w:rPr>
          <w:rFonts w:ascii="Calibri" w:cs="Calibri"/>
          <w:i/>
          <w:iCs/>
        </w:rPr>
        <w:t>Proceedings of the Royal Society B: Biological Sciences</w:t>
      </w:r>
      <w:r w:rsidRPr="002639DC">
        <w:rPr>
          <w:rFonts w:ascii="Calibri" w:cs="Calibri"/>
        </w:rPr>
        <w:t xml:space="preserve">, </w:t>
      </w:r>
      <w:r w:rsidRPr="002639DC">
        <w:rPr>
          <w:rFonts w:ascii="Calibri" w:cs="Calibri"/>
          <w:i/>
          <w:iCs/>
        </w:rPr>
        <w:t>282</w:t>
      </w:r>
      <w:r w:rsidRPr="002639DC">
        <w:rPr>
          <w:rFonts w:ascii="Calibri" w:cs="Calibri"/>
        </w:rPr>
        <w:t>(1815), 20151429. https://doi.org/10.1098/rspb.2015.1429</w:t>
      </w:r>
    </w:p>
    <w:p w14:paraId="55916105" w14:textId="77777777" w:rsidR="002639DC" w:rsidRPr="002639DC" w:rsidRDefault="002639DC" w:rsidP="002639DC">
      <w:pPr>
        <w:pStyle w:val="Bibliography"/>
        <w:rPr>
          <w:rFonts w:ascii="Calibri" w:cs="Calibri"/>
        </w:rPr>
      </w:pPr>
      <w:r w:rsidRPr="002639DC">
        <w:rPr>
          <w:rFonts w:ascii="Calibri" w:cs="Calibri"/>
        </w:rPr>
        <w:t xml:space="preserve">Altizer, S., Hochachka, W. M., &amp; Dhondt, A. A. (2004). Seasonal Dynamics of Mycoplasmal Conjunctivitis in Eastern North American House Finches. </w:t>
      </w:r>
      <w:r w:rsidRPr="002639DC">
        <w:rPr>
          <w:rFonts w:ascii="Calibri" w:cs="Calibri"/>
          <w:i/>
          <w:iCs/>
        </w:rPr>
        <w:t>Journal of Animal Ecology</w:t>
      </w:r>
      <w:r w:rsidRPr="002639DC">
        <w:rPr>
          <w:rFonts w:ascii="Calibri" w:cs="Calibri"/>
        </w:rPr>
        <w:t xml:space="preserve">, </w:t>
      </w:r>
      <w:r w:rsidRPr="002639DC">
        <w:rPr>
          <w:rFonts w:ascii="Calibri" w:cs="Calibri"/>
          <w:i/>
          <w:iCs/>
        </w:rPr>
        <w:t>73</w:t>
      </w:r>
      <w:r w:rsidRPr="002639DC">
        <w:rPr>
          <w:rFonts w:ascii="Calibri" w:cs="Calibri"/>
        </w:rPr>
        <w:t>(2), 309–322.</w:t>
      </w:r>
    </w:p>
    <w:p w14:paraId="4543F0A8" w14:textId="77777777" w:rsidR="002639DC" w:rsidRPr="002639DC" w:rsidRDefault="002639DC" w:rsidP="002639DC">
      <w:pPr>
        <w:pStyle w:val="Bibliography"/>
        <w:rPr>
          <w:rFonts w:ascii="Calibri" w:cs="Calibri"/>
        </w:rPr>
      </w:pPr>
      <w:r w:rsidRPr="002639DC">
        <w:rPr>
          <w:rFonts w:ascii="Calibri" w:cs="Calibri"/>
        </w:rPr>
        <w:t xml:space="preserve">Anderson, R. M., &amp; May, R. M. (1986). The invasion, persistence and spread of infectious diseases within animal and plant communities. </w:t>
      </w:r>
      <w:r w:rsidRPr="002639DC">
        <w:rPr>
          <w:rFonts w:ascii="Calibri" w:cs="Calibri"/>
          <w:i/>
          <w:iCs/>
        </w:rPr>
        <w:t>Philosophical Transactions of the Royal Society of London. B, Biological Sciences</w:t>
      </w:r>
      <w:r w:rsidRPr="002639DC">
        <w:rPr>
          <w:rFonts w:ascii="Calibri" w:cs="Calibri"/>
        </w:rPr>
        <w:t xml:space="preserve">, </w:t>
      </w:r>
      <w:r w:rsidRPr="002639DC">
        <w:rPr>
          <w:rFonts w:ascii="Calibri" w:cs="Calibri"/>
          <w:i/>
          <w:iCs/>
        </w:rPr>
        <w:t>314</w:t>
      </w:r>
      <w:r w:rsidRPr="002639DC">
        <w:rPr>
          <w:rFonts w:ascii="Calibri" w:cs="Calibri"/>
        </w:rPr>
        <w:t>(1167), 533–570.</w:t>
      </w:r>
    </w:p>
    <w:p w14:paraId="5A742FD3" w14:textId="77777777" w:rsidR="002639DC" w:rsidRPr="002639DC" w:rsidRDefault="002639DC" w:rsidP="002639DC">
      <w:pPr>
        <w:pStyle w:val="Bibliography"/>
        <w:rPr>
          <w:rFonts w:ascii="Calibri" w:cs="Calibri"/>
        </w:rPr>
      </w:pPr>
      <w:r w:rsidRPr="002639DC">
        <w:rPr>
          <w:rFonts w:ascii="Calibri" w:cs="Calibri"/>
        </w:rPr>
        <w:t xml:space="preserve">Badyaev, A. V., Hamstra, T. L., Oh, K. P., &amp; Acevedo Seaman, D. A. (2006). Sex-biased maternal effects reduce ectoparasite-induced mortality in a passerine bird. </w:t>
      </w:r>
      <w:r w:rsidRPr="002639DC">
        <w:rPr>
          <w:rFonts w:ascii="Calibri" w:cs="Calibri"/>
          <w:i/>
          <w:iCs/>
        </w:rPr>
        <w:t xml:space="preserve">Proceedings of the </w:t>
      </w:r>
      <w:r w:rsidRPr="002639DC">
        <w:rPr>
          <w:rFonts w:ascii="Calibri" w:cs="Calibri"/>
          <w:i/>
          <w:iCs/>
        </w:rPr>
        <w:lastRenderedPageBreak/>
        <w:t>National Academy of Sciences</w:t>
      </w:r>
      <w:r w:rsidRPr="002639DC">
        <w:rPr>
          <w:rFonts w:ascii="Calibri" w:cs="Calibri"/>
        </w:rPr>
        <w:t xml:space="preserve">, </w:t>
      </w:r>
      <w:r w:rsidRPr="002639DC">
        <w:rPr>
          <w:rFonts w:ascii="Calibri" w:cs="Calibri"/>
          <w:i/>
          <w:iCs/>
        </w:rPr>
        <w:t>103</w:t>
      </w:r>
      <w:r w:rsidRPr="002639DC">
        <w:rPr>
          <w:rFonts w:ascii="Calibri" w:cs="Calibri"/>
        </w:rPr>
        <w:t>(39), 14406–14411. https://doi.org/10.1073/pnas.0602452103</w:t>
      </w:r>
    </w:p>
    <w:p w14:paraId="365BA6D7" w14:textId="77777777" w:rsidR="002639DC" w:rsidRPr="002639DC" w:rsidRDefault="002639DC" w:rsidP="002639DC">
      <w:pPr>
        <w:pStyle w:val="Bibliography"/>
        <w:rPr>
          <w:rFonts w:ascii="Calibri" w:cs="Calibri"/>
        </w:rPr>
      </w:pPr>
      <w:r w:rsidRPr="002639DC">
        <w:rPr>
          <w:rFonts w:ascii="Calibri" w:cs="Calibri"/>
        </w:rPr>
        <w:t xml:space="preserve">Bates, D., Maechler, M., Bolker, B., &amp; Walker, S. (2014). </w:t>
      </w:r>
      <w:r w:rsidRPr="002639DC">
        <w:rPr>
          <w:rFonts w:ascii="Calibri" w:cs="Calibri"/>
          <w:i/>
          <w:iCs/>
        </w:rPr>
        <w:t>lme4: Linear mixed-effects models using Eigen and S4, R package version 1.1-6</w:t>
      </w:r>
      <w:r w:rsidRPr="002639DC">
        <w:rPr>
          <w:rFonts w:ascii="Calibri" w:cs="Calibri"/>
        </w:rPr>
        <w:t>. http://CRAN.R-project.org/package=lme4</w:t>
      </w:r>
    </w:p>
    <w:p w14:paraId="751C633D" w14:textId="77777777" w:rsidR="002639DC" w:rsidRPr="002639DC" w:rsidRDefault="002639DC" w:rsidP="002639DC">
      <w:pPr>
        <w:pStyle w:val="Bibliography"/>
        <w:rPr>
          <w:rFonts w:ascii="Calibri" w:cs="Calibri"/>
        </w:rPr>
      </w:pPr>
      <w:r w:rsidRPr="002639DC">
        <w:rPr>
          <w:rFonts w:ascii="Calibri" w:cs="Calibri"/>
        </w:rPr>
        <w:t xml:space="preserve">Belthoff, J. R., &amp; Gauthreaux Jr, S. A. (1991). Aggression and dominance in house finches. </w:t>
      </w:r>
      <w:r w:rsidRPr="002639DC">
        <w:rPr>
          <w:rFonts w:ascii="Calibri" w:cs="Calibri"/>
          <w:i/>
          <w:iCs/>
        </w:rPr>
        <w:t>Condor</w:t>
      </w:r>
      <w:r w:rsidRPr="002639DC">
        <w:rPr>
          <w:rFonts w:ascii="Calibri" w:cs="Calibri"/>
        </w:rPr>
        <w:t>, 1010–1013.</w:t>
      </w:r>
    </w:p>
    <w:p w14:paraId="5D1812E5" w14:textId="77777777" w:rsidR="002639DC" w:rsidRPr="002639DC" w:rsidRDefault="002639DC" w:rsidP="002639DC">
      <w:pPr>
        <w:pStyle w:val="Bibliography"/>
        <w:rPr>
          <w:rFonts w:ascii="Calibri" w:cs="Calibri"/>
        </w:rPr>
      </w:pPr>
      <w:r w:rsidRPr="002639DC">
        <w:rPr>
          <w:rFonts w:ascii="Calibri" w:cs="Calibri"/>
        </w:rPr>
        <w:t xml:space="preserve">Bouwman, K. M., &amp; Hawley, D. M. (2010). Sickness behaviour acting as an evolutionary trap? Male house finches preferentially feed near diseased conspecifics. </w:t>
      </w:r>
      <w:r w:rsidRPr="002639DC">
        <w:rPr>
          <w:rFonts w:ascii="Calibri" w:cs="Calibri"/>
          <w:i/>
          <w:iCs/>
        </w:rPr>
        <w:t>Biology Letters</w:t>
      </w:r>
      <w:r w:rsidRPr="002639DC">
        <w:rPr>
          <w:rFonts w:ascii="Calibri" w:cs="Calibri"/>
        </w:rPr>
        <w:t xml:space="preserve">, </w:t>
      </w:r>
      <w:r w:rsidRPr="002639DC">
        <w:rPr>
          <w:rFonts w:ascii="Calibri" w:cs="Calibri"/>
          <w:i/>
          <w:iCs/>
        </w:rPr>
        <w:t>6</w:t>
      </w:r>
      <w:r w:rsidRPr="002639DC">
        <w:rPr>
          <w:rFonts w:ascii="Calibri" w:cs="Calibri"/>
        </w:rPr>
        <w:t>(4), 462–465. https://doi.org/10.1098/rsbl.2010.0020</w:t>
      </w:r>
    </w:p>
    <w:p w14:paraId="7F99BF38" w14:textId="77777777" w:rsidR="002639DC" w:rsidRPr="002639DC" w:rsidRDefault="002639DC" w:rsidP="002639DC">
      <w:pPr>
        <w:pStyle w:val="Bibliography"/>
        <w:rPr>
          <w:rFonts w:ascii="Calibri" w:cs="Calibri"/>
        </w:rPr>
      </w:pPr>
      <w:r w:rsidRPr="002639DC">
        <w:rPr>
          <w:rFonts w:ascii="Calibri" w:cs="Calibri"/>
        </w:rPr>
        <w:t xml:space="preserve">Deem, S. L., Parker, P. G., Cruz, M. B., Merkel, J., &amp; Hoeck, P. E. A. (2011). Comparison of blood values and health status of Floreana Mockingbirds (Mimus trifasciatus) on the islands of Champion and Gardner-by-Floreana, Galápagos Islands. </w:t>
      </w:r>
      <w:r w:rsidRPr="002639DC">
        <w:rPr>
          <w:rFonts w:ascii="Calibri" w:cs="Calibri"/>
          <w:i/>
          <w:iCs/>
        </w:rPr>
        <w:t>Journal of Wildlife Diseases</w:t>
      </w:r>
      <w:r w:rsidRPr="002639DC">
        <w:rPr>
          <w:rFonts w:ascii="Calibri" w:cs="Calibri"/>
        </w:rPr>
        <w:t xml:space="preserve">, </w:t>
      </w:r>
      <w:r w:rsidRPr="002639DC">
        <w:rPr>
          <w:rFonts w:ascii="Calibri" w:cs="Calibri"/>
          <w:i/>
          <w:iCs/>
        </w:rPr>
        <w:t>47</w:t>
      </w:r>
      <w:r w:rsidRPr="002639DC">
        <w:rPr>
          <w:rFonts w:ascii="Calibri" w:cs="Calibri"/>
        </w:rPr>
        <w:t>(1), 94–106. https://doi.org/10.7589/0090-3558-47.1.94</w:t>
      </w:r>
    </w:p>
    <w:p w14:paraId="4849B3FD" w14:textId="77777777" w:rsidR="002639DC" w:rsidRPr="002639DC" w:rsidRDefault="002639DC" w:rsidP="002639DC">
      <w:pPr>
        <w:pStyle w:val="Bibliography"/>
        <w:rPr>
          <w:rFonts w:ascii="Calibri" w:cs="Calibri"/>
        </w:rPr>
      </w:pPr>
      <w:r w:rsidRPr="002639DC">
        <w:rPr>
          <w:rFonts w:ascii="Calibri" w:cs="Calibri"/>
        </w:rPr>
        <w:t xml:space="preserve">Dhondt, A. A., Dhondt, K. V., Hawley, D. M., &amp; Jennelle, C. S. (2007). Experimental evidence for transmission of </w:t>
      </w:r>
      <w:r w:rsidRPr="002639DC">
        <w:rPr>
          <w:rFonts w:ascii="Calibri" w:cs="Calibri"/>
          <w:i/>
          <w:iCs/>
        </w:rPr>
        <w:t>Mycoplasma gallisepticum</w:t>
      </w:r>
      <w:r w:rsidRPr="002639DC">
        <w:rPr>
          <w:rFonts w:ascii="Calibri" w:cs="Calibri"/>
        </w:rPr>
        <w:t xml:space="preserve"> in house finches by fomites. </w:t>
      </w:r>
      <w:r w:rsidRPr="002639DC">
        <w:rPr>
          <w:rFonts w:ascii="Calibri" w:cs="Calibri"/>
          <w:i/>
          <w:iCs/>
        </w:rPr>
        <w:t>Avian Pathology</w:t>
      </w:r>
      <w:r w:rsidRPr="002639DC">
        <w:rPr>
          <w:rFonts w:ascii="Calibri" w:cs="Calibri"/>
        </w:rPr>
        <w:t xml:space="preserve">, </w:t>
      </w:r>
      <w:r w:rsidRPr="002639DC">
        <w:rPr>
          <w:rFonts w:ascii="Calibri" w:cs="Calibri"/>
          <w:i/>
          <w:iCs/>
        </w:rPr>
        <w:t>36</w:t>
      </w:r>
      <w:r w:rsidRPr="002639DC">
        <w:rPr>
          <w:rFonts w:ascii="Calibri" w:cs="Calibri"/>
        </w:rPr>
        <w:t>(3), 205–208. https://doi.org/10.1080/03079450701286277</w:t>
      </w:r>
    </w:p>
    <w:p w14:paraId="4E8AD96F" w14:textId="77777777" w:rsidR="002639DC" w:rsidRPr="002639DC" w:rsidRDefault="002639DC" w:rsidP="002639DC">
      <w:pPr>
        <w:pStyle w:val="Bibliography"/>
        <w:rPr>
          <w:rFonts w:ascii="Calibri" w:cs="Calibri"/>
        </w:rPr>
      </w:pPr>
      <w:r w:rsidRPr="002639DC">
        <w:rPr>
          <w:rFonts w:ascii="Calibri" w:cs="Calibri"/>
        </w:rPr>
        <w:t xml:space="preserve">Duckworth, R. A., Mendonça, M. T., &amp; Hill, G. E. (2001). A condition dependent link between testosterone and disease resistance in the house finch. </w:t>
      </w:r>
      <w:r w:rsidRPr="002639DC">
        <w:rPr>
          <w:rFonts w:ascii="Calibri" w:cs="Calibri"/>
          <w:i/>
          <w:iCs/>
        </w:rPr>
        <w:t>Proceedings of the Royal Society of London. Series B: Biological Sciences</w:t>
      </w:r>
      <w:r w:rsidRPr="002639DC">
        <w:rPr>
          <w:rFonts w:ascii="Calibri" w:cs="Calibri"/>
        </w:rPr>
        <w:t xml:space="preserve">, </w:t>
      </w:r>
      <w:r w:rsidRPr="002639DC">
        <w:rPr>
          <w:rFonts w:ascii="Calibri" w:cs="Calibri"/>
          <w:i/>
          <w:iCs/>
        </w:rPr>
        <w:t>268</w:t>
      </w:r>
      <w:r w:rsidRPr="002639DC">
        <w:rPr>
          <w:rFonts w:ascii="Calibri" w:cs="Calibri"/>
        </w:rPr>
        <w:t>(1484), 2467–2472. https://doi.org/10.1098/rspb.2001.1827</w:t>
      </w:r>
    </w:p>
    <w:p w14:paraId="3FC46013" w14:textId="77777777" w:rsidR="002639DC" w:rsidRPr="002639DC" w:rsidRDefault="002639DC" w:rsidP="002639DC">
      <w:pPr>
        <w:pStyle w:val="Bibliography"/>
        <w:rPr>
          <w:rFonts w:ascii="Calibri" w:cs="Calibri"/>
        </w:rPr>
      </w:pPr>
      <w:r w:rsidRPr="002639DC">
        <w:rPr>
          <w:rFonts w:ascii="Calibri" w:cs="Calibri"/>
        </w:rPr>
        <w:lastRenderedPageBreak/>
        <w:t xml:space="preserve">DuRant, S. E., Hopkins, W. A., Carter, A. W., Kirkpatrick, L. T., Navara, K. J., &amp; Hawley, D. M. (2016). Incubation temperature causes skewed sex ratios in a precocial bird. </w:t>
      </w:r>
      <w:r w:rsidRPr="002639DC">
        <w:rPr>
          <w:rFonts w:ascii="Calibri" w:cs="Calibri"/>
          <w:i/>
          <w:iCs/>
        </w:rPr>
        <w:t>Journal of Experimental Biology</w:t>
      </w:r>
      <w:r w:rsidRPr="002639DC">
        <w:rPr>
          <w:rFonts w:ascii="Calibri" w:cs="Calibri"/>
        </w:rPr>
        <w:t xml:space="preserve">, </w:t>
      </w:r>
      <w:r w:rsidRPr="002639DC">
        <w:rPr>
          <w:rFonts w:ascii="Calibri" w:cs="Calibri"/>
          <w:i/>
          <w:iCs/>
        </w:rPr>
        <w:t>219</w:t>
      </w:r>
      <w:r w:rsidRPr="002639DC">
        <w:rPr>
          <w:rFonts w:ascii="Calibri" w:cs="Calibri"/>
        </w:rPr>
        <w:t>(13), 1961–1964. https://doi.org/10.1242/jeb.138263</w:t>
      </w:r>
    </w:p>
    <w:p w14:paraId="6BA69031" w14:textId="77777777" w:rsidR="002639DC" w:rsidRPr="002639DC" w:rsidRDefault="002639DC" w:rsidP="002639DC">
      <w:pPr>
        <w:pStyle w:val="Bibliography"/>
        <w:rPr>
          <w:rFonts w:ascii="Calibri" w:cs="Calibri"/>
        </w:rPr>
      </w:pPr>
      <w:r w:rsidRPr="002639DC">
        <w:rPr>
          <w:rFonts w:ascii="Calibri" w:cs="Calibri"/>
        </w:rPr>
        <w:t xml:space="preserve">Farmer, K. L., Hill, G. E., &amp; Roberts, S. R. (2005). Susceptibility of wild songbirds to the house finch strain of Mycoplasma gallisepticum. </w:t>
      </w:r>
      <w:r w:rsidRPr="002639DC">
        <w:rPr>
          <w:rFonts w:ascii="Calibri" w:cs="Calibri"/>
          <w:i/>
          <w:iCs/>
        </w:rPr>
        <w:t>Journal of Wildlife Diseases</w:t>
      </w:r>
      <w:r w:rsidRPr="002639DC">
        <w:rPr>
          <w:rFonts w:ascii="Calibri" w:cs="Calibri"/>
        </w:rPr>
        <w:t xml:space="preserve">, </w:t>
      </w:r>
      <w:r w:rsidRPr="002639DC">
        <w:rPr>
          <w:rFonts w:ascii="Calibri" w:cs="Calibri"/>
          <w:i/>
          <w:iCs/>
        </w:rPr>
        <w:t>41</w:t>
      </w:r>
      <w:r w:rsidRPr="002639DC">
        <w:rPr>
          <w:rFonts w:ascii="Calibri" w:cs="Calibri"/>
        </w:rPr>
        <w:t>(2), 317–325. https://doi.org/10.7589/0090-3558-41.2.317</w:t>
      </w:r>
    </w:p>
    <w:p w14:paraId="6FF69917" w14:textId="77777777" w:rsidR="002639DC" w:rsidRPr="002639DC" w:rsidRDefault="002639DC" w:rsidP="002639DC">
      <w:pPr>
        <w:pStyle w:val="Bibliography"/>
        <w:rPr>
          <w:rFonts w:ascii="Calibri" w:cs="Calibri"/>
        </w:rPr>
      </w:pPr>
      <w:r w:rsidRPr="002639DC">
        <w:rPr>
          <w:rFonts w:ascii="Calibri" w:cs="Calibri"/>
        </w:rPr>
        <w:t xml:space="preserve">Ferrari, N., Cattadori, I. M., Nespereira, J., Rizzoli, A., &amp; Hudson, P. J. (2004). The role of host sex in parasite dynamics: Field experiments on the yellow-necked mouse Apodemus flavicollis. </w:t>
      </w:r>
      <w:r w:rsidRPr="002639DC">
        <w:rPr>
          <w:rFonts w:ascii="Calibri" w:cs="Calibri"/>
          <w:i/>
          <w:iCs/>
        </w:rPr>
        <w:t>Ecology Letters</w:t>
      </w:r>
      <w:r w:rsidRPr="002639DC">
        <w:rPr>
          <w:rFonts w:ascii="Calibri" w:cs="Calibri"/>
        </w:rPr>
        <w:t xml:space="preserve">, </w:t>
      </w:r>
      <w:r w:rsidRPr="002639DC">
        <w:rPr>
          <w:rFonts w:ascii="Calibri" w:cs="Calibri"/>
          <w:i/>
          <w:iCs/>
        </w:rPr>
        <w:t>7</w:t>
      </w:r>
      <w:r w:rsidRPr="002639DC">
        <w:rPr>
          <w:rFonts w:ascii="Calibri" w:cs="Calibri"/>
        </w:rPr>
        <w:t>(2), 88–94. https://doi.org/10.1046/j.1461-0248.2003.00552.x</w:t>
      </w:r>
    </w:p>
    <w:p w14:paraId="625BF9C5" w14:textId="77777777" w:rsidR="002639DC" w:rsidRPr="002639DC" w:rsidRDefault="002639DC" w:rsidP="002639DC">
      <w:pPr>
        <w:pStyle w:val="Bibliography"/>
        <w:rPr>
          <w:rFonts w:ascii="Calibri" w:cs="Calibri"/>
        </w:rPr>
      </w:pPr>
      <w:r w:rsidRPr="002639DC">
        <w:rPr>
          <w:rFonts w:ascii="Calibri" w:cs="Calibri"/>
        </w:rPr>
        <w:t xml:space="preserve">Grear, D. A., Perkins, S. E., &amp; Hudson, P. J. (2009). Does elevated testosterone result in increased exposure and transmission of parasites? </w:t>
      </w:r>
      <w:r w:rsidRPr="002639DC">
        <w:rPr>
          <w:rFonts w:ascii="Calibri" w:cs="Calibri"/>
          <w:i/>
          <w:iCs/>
        </w:rPr>
        <w:t>Ecology Letters</w:t>
      </w:r>
      <w:r w:rsidRPr="002639DC">
        <w:rPr>
          <w:rFonts w:ascii="Calibri" w:cs="Calibri"/>
        </w:rPr>
        <w:t xml:space="preserve">, </w:t>
      </w:r>
      <w:r w:rsidRPr="002639DC">
        <w:rPr>
          <w:rFonts w:ascii="Calibri" w:cs="Calibri"/>
          <w:i/>
          <w:iCs/>
        </w:rPr>
        <w:t>12</w:t>
      </w:r>
      <w:r w:rsidRPr="002639DC">
        <w:rPr>
          <w:rFonts w:ascii="Calibri" w:cs="Calibri"/>
        </w:rPr>
        <w:t>(6), 528–537. https://doi.org/10.1111/j.1461-0248.2009.01306.x</w:t>
      </w:r>
    </w:p>
    <w:p w14:paraId="7D89E27D" w14:textId="77777777" w:rsidR="002639DC" w:rsidRPr="002639DC" w:rsidRDefault="002639DC" w:rsidP="002639DC">
      <w:pPr>
        <w:pStyle w:val="Bibliography"/>
        <w:rPr>
          <w:rFonts w:ascii="Calibri" w:cs="Calibri"/>
        </w:rPr>
      </w:pPr>
      <w:r w:rsidRPr="002639DC">
        <w:rPr>
          <w:rFonts w:ascii="Calibri" w:cs="Calibri"/>
        </w:rPr>
        <w:t xml:space="preserve">Grodio, J. L., Dhondt, K. V., O’Connell, P. H., &amp; Schat, K. A. (2008). Detection and quantification of Mycoplasma gallisepticum genome load in conjunctival samples of experimentally infected house finches (Carpodacus mexicanus) using real-time polymerase chain reaction. </w:t>
      </w:r>
      <w:r w:rsidRPr="002639DC">
        <w:rPr>
          <w:rFonts w:ascii="Calibri" w:cs="Calibri"/>
          <w:i/>
          <w:iCs/>
        </w:rPr>
        <w:t>Avian Pathology</w:t>
      </w:r>
      <w:r w:rsidRPr="002639DC">
        <w:rPr>
          <w:rFonts w:ascii="Calibri" w:cs="Calibri"/>
        </w:rPr>
        <w:t xml:space="preserve">, </w:t>
      </w:r>
      <w:r w:rsidRPr="002639DC">
        <w:rPr>
          <w:rFonts w:ascii="Calibri" w:cs="Calibri"/>
          <w:i/>
          <w:iCs/>
        </w:rPr>
        <w:t>37</w:t>
      </w:r>
      <w:r w:rsidRPr="002639DC">
        <w:rPr>
          <w:rFonts w:ascii="Calibri" w:cs="Calibri"/>
        </w:rPr>
        <w:t>(4), 385–391.</w:t>
      </w:r>
    </w:p>
    <w:p w14:paraId="2DC2D324" w14:textId="77777777" w:rsidR="002639DC" w:rsidRPr="002639DC" w:rsidRDefault="002639DC" w:rsidP="002639DC">
      <w:pPr>
        <w:pStyle w:val="Bibliography"/>
        <w:rPr>
          <w:rFonts w:ascii="Calibri" w:cs="Calibri"/>
        </w:rPr>
      </w:pPr>
      <w:r w:rsidRPr="002639DC">
        <w:rPr>
          <w:rFonts w:ascii="Calibri" w:cs="Calibri"/>
        </w:rPr>
        <w:t xml:space="preserve">Hartup, B. K., Dhondt, A. A., Sydenstricker, K. V., Hochachka, W. M., &amp; Kollias, G. V. (2001). Host range and dynamics of mycoplasmal conjunctivitis among birds in North America. </w:t>
      </w:r>
      <w:r w:rsidRPr="002639DC">
        <w:rPr>
          <w:rFonts w:ascii="Calibri" w:cs="Calibri"/>
          <w:i/>
          <w:iCs/>
        </w:rPr>
        <w:t>Journal of Wildlife Diseases</w:t>
      </w:r>
      <w:r w:rsidRPr="002639DC">
        <w:rPr>
          <w:rFonts w:ascii="Calibri" w:cs="Calibri"/>
        </w:rPr>
        <w:t xml:space="preserve">, </w:t>
      </w:r>
      <w:r w:rsidRPr="002639DC">
        <w:rPr>
          <w:rFonts w:ascii="Calibri" w:cs="Calibri"/>
          <w:i/>
          <w:iCs/>
        </w:rPr>
        <w:t>37</w:t>
      </w:r>
      <w:r w:rsidRPr="002639DC">
        <w:rPr>
          <w:rFonts w:ascii="Calibri" w:cs="Calibri"/>
        </w:rPr>
        <w:t>(1), 72–81. https://doi.org/10.7589/0090-3558-37.1.72</w:t>
      </w:r>
    </w:p>
    <w:p w14:paraId="262ADE20" w14:textId="77777777" w:rsidR="002639DC" w:rsidRPr="002639DC" w:rsidRDefault="002639DC" w:rsidP="002639DC">
      <w:pPr>
        <w:pStyle w:val="Bibliography"/>
        <w:rPr>
          <w:rFonts w:ascii="Calibri" w:cs="Calibri"/>
        </w:rPr>
      </w:pPr>
      <w:r w:rsidRPr="002639DC">
        <w:rPr>
          <w:rFonts w:ascii="Calibri" w:cs="Calibri"/>
        </w:rPr>
        <w:t xml:space="preserve">Hawkins, C. E., Baars, C., Hesterman, H., Hocking, G. J., Jones, M. E., Lazenby, B., Mann, D., Mooney, N., Pemberton, D., Pyecroft, S., Restani, M., &amp; Wiersma, J. (2006). Emerging </w:t>
      </w:r>
      <w:r w:rsidRPr="002639DC">
        <w:rPr>
          <w:rFonts w:ascii="Calibri" w:cs="Calibri"/>
        </w:rPr>
        <w:lastRenderedPageBreak/>
        <w:t xml:space="preserve">disease and population decline of an island endemic, the Tasmanian devil Sarcophilus harrisii. </w:t>
      </w:r>
      <w:r w:rsidRPr="002639DC">
        <w:rPr>
          <w:rFonts w:ascii="Calibri" w:cs="Calibri"/>
          <w:i/>
          <w:iCs/>
        </w:rPr>
        <w:t>Biological Conservation</w:t>
      </w:r>
      <w:r w:rsidRPr="002639DC">
        <w:rPr>
          <w:rFonts w:ascii="Calibri" w:cs="Calibri"/>
        </w:rPr>
        <w:t xml:space="preserve">, </w:t>
      </w:r>
      <w:r w:rsidRPr="002639DC">
        <w:rPr>
          <w:rFonts w:ascii="Calibri" w:cs="Calibri"/>
          <w:i/>
          <w:iCs/>
        </w:rPr>
        <w:t>131</w:t>
      </w:r>
      <w:r w:rsidRPr="002639DC">
        <w:rPr>
          <w:rFonts w:ascii="Calibri" w:cs="Calibri"/>
        </w:rPr>
        <w:t>(2), 307–324. https://doi.org/10.1016/j.biocon.2006.04.010</w:t>
      </w:r>
    </w:p>
    <w:p w14:paraId="5598477E" w14:textId="77777777" w:rsidR="002639DC" w:rsidRPr="002639DC" w:rsidRDefault="002639DC" w:rsidP="002639DC">
      <w:pPr>
        <w:pStyle w:val="Bibliography"/>
        <w:rPr>
          <w:rFonts w:ascii="Calibri" w:cs="Calibri"/>
        </w:rPr>
      </w:pPr>
      <w:r w:rsidRPr="002639DC">
        <w:rPr>
          <w:rFonts w:ascii="Calibri" w:cs="Calibri"/>
        </w:rPr>
        <w:t xml:space="preserve">Hawley, D. M. (2006). Asymmetric effects of experimental manipulations of social status on individual immune response. </w:t>
      </w:r>
      <w:r w:rsidRPr="002639DC">
        <w:rPr>
          <w:rFonts w:ascii="Calibri" w:cs="Calibri"/>
          <w:i/>
          <w:iCs/>
        </w:rPr>
        <w:t>Animal Behaviour</w:t>
      </w:r>
      <w:r w:rsidRPr="002639DC">
        <w:rPr>
          <w:rFonts w:ascii="Calibri" w:cs="Calibri"/>
        </w:rPr>
        <w:t xml:space="preserve">, </w:t>
      </w:r>
      <w:r w:rsidRPr="002639DC">
        <w:rPr>
          <w:rFonts w:ascii="Calibri" w:cs="Calibri"/>
          <w:i/>
          <w:iCs/>
        </w:rPr>
        <w:t>71</w:t>
      </w:r>
      <w:r w:rsidRPr="002639DC">
        <w:rPr>
          <w:rFonts w:ascii="Calibri" w:cs="Calibri"/>
        </w:rPr>
        <w:t>(6), 1431–1438. https://doi.org/10.1016/j.anbehav.2005.12.004</w:t>
      </w:r>
    </w:p>
    <w:p w14:paraId="4DFB8CC2" w14:textId="77777777" w:rsidR="002639DC" w:rsidRPr="002639DC" w:rsidRDefault="002639DC" w:rsidP="002639DC">
      <w:pPr>
        <w:pStyle w:val="Bibliography"/>
        <w:rPr>
          <w:rFonts w:ascii="Calibri" w:cs="Calibri"/>
        </w:rPr>
      </w:pPr>
      <w:r w:rsidRPr="002639DC">
        <w:rPr>
          <w:rFonts w:ascii="Calibri" w:cs="Calibri"/>
        </w:rPr>
        <w:t xml:space="preserve">Hawley, D. M., Grodio, J., Frasca Jr, S., Kirkpatrick, L., &amp; Ley, D. H. (2011). Experimental infection of domestic canaries (Serinus canaria domestica) with Mycoplasma gallisepticum: A new model system for a wildlife disease. </w:t>
      </w:r>
      <w:r w:rsidRPr="002639DC">
        <w:rPr>
          <w:rFonts w:ascii="Calibri" w:cs="Calibri"/>
          <w:i/>
          <w:iCs/>
        </w:rPr>
        <w:t>Avian Pathology</w:t>
      </w:r>
      <w:r w:rsidRPr="002639DC">
        <w:rPr>
          <w:rFonts w:ascii="Calibri" w:cs="Calibri"/>
        </w:rPr>
        <w:t xml:space="preserve">, </w:t>
      </w:r>
      <w:r w:rsidRPr="002639DC">
        <w:rPr>
          <w:rFonts w:ascii="Calibri" w:cs="Calibri"/>
          <w:i/>
          <w:iCs/>
        </w:rPr>
        <w:t>40</w:t>
      </w:r>
      <w:r w:rsidRPr="002639DC">
        <w:rPr>
          <w:rFonts w:ascii="Calibri" w:cs="Calibri"/>
        </w:rPr>
        <w:t>(3), 321–327.</w:t>
      </w:r>
    </w:p>
    <w:p w14:paraId="4653BC1A" w14:textId="77777777" w:rsidR="002639DC" w:rsidRPr="002639DC" w:rsidRDefault="002639DC" w:rsidP="002639DC">
      <w:pPr>
        <w:pStyle w:val="Bibliography"/>
        <w:rPr>
          <w:rFonts w:ascii="Calibri" w:cs="Calibri"/>
        </w:rPr>
      </w:pPr>
      <w:r w:rsidRPr="002639DC">
        <w:rPr>
          <w:rFonts w:ascii="Calibri" w:cs="Calibri"/>
        </w:rPr>
        <w:t xml:space="preserve">Hawley, D. M., Jennelle, C. S., Sydenstricker, K. V., &amp; Dhondt, A. A. (2007). Pathogen resistance and immunocompetence covary with social status in house finches (Carpodacus mexicanus). </w:t>
      </w:r>
      <w:r w:rsidRPr="002639DC">
        <w:rPr>
          <w:rFonts w:ascii="Calibri" w:cs="Calibri"/>
          <w:i/>
          <w:iCs/>
        </w:rPr>
        <w:t>Functional Ecology</w:t>
      </w:r>
      <w:r w:rsidRPr="002639DC">
        <w:rPr>
          <w:rFonts w:ascii="Calibri" w:cs="Calibri"/>
        </w:rPr>
        <w:t xml:space="preserve">, </w:t>
      </w:r>
      <w:r w:rsidRPr="002639DC">
        <w:rPr>
          <w:rFonts w:ascii="Calibri" w:cs="Calibri"/>
          <w:i/>
          <w:iCs/>
        </w:rPr>
        <w:t>21</w:t>
      </w:r>
      <w:r w:rsidRPr="002639DC">
        <w:rPr>
          <w:rFonts w:ascii="Calibri" w:cs="Calibri"/>
        </w:rPr>
        <w:t>(3), 520–527. https://doi.org/10.1111/j.1365-2435.2007.01254.x</w:t>
      </w:r>
    </w:p>
    <w:p w14:paraId="1564122E" w14:textId="77777777" w:rsidR="002639DC" w:rsidRPr="002639DC" w:rsidRDefault="002639DC" w:rsidP="002639DC">
      <w:pPr>
        <w:pStyle w:val="Bibliography"/>
        <w:rPr>
          <w:rFonts w:ascii="Calibri" w:cs="Calibri"/>
        </w:rPr>
      </w:pPr>
      <w:r w:rsidRPr="002639DC">
        <w:rPr>
          <w:rFonts w:ascii="Calibri" w:cs="Calibri"/>
        </w:rPr>
        <w:t xml:space="preserve">Hawley, D. M., Lindström, K., &amp; Wikelski, M. (2006). Experimentally increased social competition compromises humoral immune responses in house finches. </w:t>
      </w:r>
      <w:r w:rsidRPr="002639DC">
        <w:rPr>
          <w:rFonts w:ascii="Calibri" w:cs="Calibri"/>
          <w:i/>
          <w:iCs/>
        </w:rPr>
        <w:t>Hormones and Behavior</w:t>
      </w:r>
      <w:r w:rsidRPr="002639DC">
        <w:rPr>
          <w:rFonts w:ascii="Calibri" w:cs="Calibri"/>
        </w:rPr>
        <w:t xml:space="preserve">, </w:t>
      </w:r>
      <w:r w:rsidRPr="002639DC">
        <w:rPr>
          <w:rFonts w:ascii="Calibri" w:cs="Calibri"/>
          <w:i/>
          <w:iCs/>
        </w:rPr>
        <w:t>49</w:t>
      </w:r>
      <w:r w:rsidRPr="002639DC">
        <w:rPr>
          <w:rFonts w:ascii="Calibri" w:cs="Calibri"/>
        </w:rPr>
        <w:t>(4), 417–424. https://doi.org/10.1016/j.yhbeh.2005.09.003</w:t>
      </w:r>
    </w:p>
    <w:p w14:paraId="3B1A354B" w14:textId="77777777" w:rsidR="002639DC" w:rsidRPr="002639DC" w:rsidRDefault="002639DC" w:rsidP="002639DC">
      <w:pPr>
        <w:pStyle w:val="Bibliography"/>
        <w:rPr>
          <w:rFonts w:ascii="Calibri" w:cs="Calibri"/>
        </w:rPr>
      </w:pPr>
      <w:r w:rsidRPr="002639DC">
        <w:rPr>
          <w:rFonts w:ascii="Calibri" w:cs="Calibri"/>
        </w:rPr>
        <w:t xml:space="preserve">Hochachka, W. M., &amp; Dhondt, A. A. (2000). Density-dependent decline of host abundance resulting from a new infectious disease. </w:t>
      </w:r>
      <w:r w:rsidRPr="002639DC">
        <w:rPr>
          <w:rFonts w:ascii="Calibri" w:cs="Calibri"/>
          <w:i/>
          <w:iCs/>
        </w:rPr>
        <w:t>Proceedings of the National Academy of Sciences</w:t>
      </w:r>
      <w:r w:rsidRPr="002639DC">
        <w:rPr>
          <w:rFonts w:ascii="Calibri" w:cs="Calibri"/>
        </w:rPr>
        <w:t xml:space="preserve">, </w:t>
      </w:r>
      <w:r w:rsidRPr="002639DC">
        <w:rPr>
          <w:rFonts w:ascii="Calibri" w:cs="Calibri"/>
          <w:i/>
          <w:iCs/>
        </w:rPr>
        <w:t>97</w:t>
      </w:r>
      <w:r w:rsidRPr="002639DC">
        <w:rPr>
          <w:rFonts w:ascii="Calibri" w:cs="Calibri"/>
        </w:rPr>
        <w:t>(10), 5303–5306.</w:t>
      </w:r>
    </w:p>
    <w:p w14:paraId="777B5C21" w14:textId="77777777" w:rsidR="002639DC" w:rsidRPr="002639DC" w:rsidRDefault="002639DC" w:rsidP="002639DC">
      <w:pPr>
        <w:pStyle w:val="Bibliography"/>
        <w:rPr>
          <w:rFonts w:ascii="Calibri" w:cs="Calibri"/>
        </w:rPr>
      </w:pPr>
      <w:r w:rsidRPr="002639DC">
        <w:rPr>
          <w:rFonts w:ascii="Calibri" w:cs="Calibri"/>
        </w:rPr>
        <w:t xml:space="preserve">Hochachka, W. M., Dobson, A. P., Hawley, D. M., &amp; Dhondt, A. A. (2021). Host population dynamics in the face of an evolving pathogen. </w:t>
      </w:r>
      <w:r w:rsidRPr="002639DC">
        <w:rPr>
          <w:rFonts w:ascii="Calibri" w:cs="Calibri"/>
          <w:i/>
          <w:iCs/>
        </w:rPr>
        <w:t>Journal of Animal Ecology</w:t>
      </w:r>
      <w:r w:rsidRPr="002639DC">
        <w:rPr>
          <w:rFonts w:ascii="Calibri" w:cs="Calibri"/>
        </w:rPr>
        <w:t>, 1365-2656.13469. https://doi.org/10.1111/1365-2656.13469</w:t>
      </w:r>
    </w:p>
    <w:p w14:paraId="528A4EAE" w14:textId="77777777" w:rsidR="002639DC" w:rsidRPr="002639DC" w:rsidRDefault="002639DC" w:rsidP="002639DC">
      <w:pPr>
        <w:pStyle w:val="Bibliography"/>
        <w:rPr>
          <w:rFonts w:ascii="Calibri" w:cs="Calibri"/>
        </w:rPr>
      </w:pPr>
      <w:r w:rsidRPr="002639DC">
        <w:rPr>
          <w:rFonts w:ascii="Calibri" w:cs="Calibri"/>
        </w:rPr>
        <w:lastRenderedPageBreak/>
        <w:t xml:space="preserve">Hosseini, P. R., Dhondt, A. A., &amp; Dobson, A. (2004). Seasonality and wildlife disease: How seasonal birth, aggregation and variation in immunity affect the dynamics of </w:t>
      </w:r>
      <w:r w:rsidRPr="002639DC">
        <w:rPr>
          <w:rFonts w:ascii="Calibri" w:cs="Calibri"/>
          <w:i/>
          <w:iCs/>
        </w:rPr>
        <w:t>Mycoplasma gallisepticum</w:t>
      </w:r>
      <w:r w:rsidRPr="002639DC">
        <w:rPr>
          <w:rFonts w:ascii="Calibri" w:cs="Calibri"/>
        </w:rPr>
        <w:t xml:space="preserve"> in house finches. </w:t>
      </w:r>
      <w:r w:rsidRPr="002639DC">
        <w:rPr>
          <w:rFonts w:ascii="Calibri" w:cs="Calibri"/>
          <w:i/>
          <w:iCs/>
        </w:rPr>
        <w:t>Proceedings of the Royal Society of London. Series B: Biological Sciences</w:t>
      </w:r>
      <w:r w:rsidRPr="002639DC">
        <w:rPr>
          <w:rFonts w:ascii="Calibri" w:cs="Calibri"/>
        </w:rPr>
        <w:t xml:space="preserve">, </w:t>
      </w:r>
      <w:r w:rsidRPr="002639DC">
        <w:rPr>
          <w:rFonts w:ascii="Calibri" w:cs="Calibri"/>
          <w:i/>
          <w:iCs/>
        </w:rPr>
        <w:t>271</w:t>
      </w:r>
      <w:r w:rsidRPr="002639DC">
        <w:rPr>
          <w:rFonts w:ascii="Calibri" w:cs="Calibri"/>
        </w:rPr>
        <w:t>(1557), 2569–2577. https://doi.org/10.1098/rspb.2004.2938</w:t>
      </w:r>
    </w:p>
    <w:p w14:paraId="1EF94A3F" w14:textId="77777777" w:rsidR="002639DC" w:rsidRPr="002639DC" w:rsidRDefault="002639DC" w:rsidP="002639DC">
      <w:pPr>
        <w:pStyle w:val="Bibliography"/>
        <w:rPr>
          <w:rFonts w:ascii="Calibri" w:cs="Calibri"/>
        </w:rPr>
      </w:pPr>
      <w:r w:rsidRPr="002639DC">
        <w:rPr>
          <w:rFonts w:ascii="Calibri" w:cs="Calibri"/>
        </w:rPr>
        <w:t xml:space="preserve">Kalinoski, R. (1975). Intra-and interspecific aggression in House Finches and House Sparrows. </w:t>
      </w:r>
      <w:r w:rsidRPr="002639DC">
        <w:rPr>
          <w:rFonts w:ascii="Calibri" w:cs="Calibri"/>
          <w:i/>
          <w:iCs/>
        </w:rPr>
        <w:t>The Condor</w:t>
      </w:r>
      <w:r w:rsidRPr="002639DC">
        <w:rPr>
          <w:rFonts w:ascii="Calibri" w:cs="Calibri"/>
        </w:rPr>
        <w:t xml:space="preserve">, </w:t>
      </w:r>
      <w:r w:rsidRPr="002639DC">
        <w:rPr>
          <w:rFonts w:ascii="Calibri" w:cs="Calibri"/>
          <w:i/>
          <w:iCs/>
        </w:rPr>
        <w:t>77</w:t>
      </w:r>
      <w:r w:rsidRPr="002639DC">
        <w:rPr>
          <w:rFonts w:ascii="Calibri" w:cs="Calibri"/>
        </w:rPr>
        <w:t>(4), 375–384.</w:t>
      </w:r>
    </w:p>
    <w:p w14:paraId="5CA20EFA" w14:textId="77777777" w:rsidR="002639DC" w:rsidRPr="002639DC" w:rsidRDefault="002639DC" w:rsidP="002639DC">
      <w:pPr>
        <w:pStyle w:val="Bibliography"/>
        <w:rPr>
          <w:rFonts w:ascii="Calibri" w:cs="Calibri"/>
        </w:rPr>
      </w:pPr>
      <w:r w:rsidRPr="002639DC">
        <w:rPr>
          <w:rFonts w:ascii="Calibri" w:cs="Calibri"/>
        </w:rPr>
        <w:t xml:space="preserve">Kelly, C. D., Stoehr, A. M., Nunn, C., Smyth, K. N., &amp; Prokop, Z. M. (2018). Sexual dimorphism in immunity across animals: A meta‐analysis. </w:t>
      </w:r>
      <w:r w:rsidRPr="002639DC">
        <w:rPr>
          <w:rFonts w:ascii="Calibri" w:cs="Calibri"/>
          <w:i/>
          <w:iCs/>
        </w:rPr>
        <w:t>Ecology Letters</w:t>
      </w:r>
      <w:r w:rsidRPr="002639DC">
        <w:rPr>
          <w:rFonts w:ascii="Calibri" w:cs="Calibri"/>
        </w:rPr>
        <w:t xml:space="preserve">, </w:t>
      </w:r>
      <w:r w:rsidRPr="002639DC">
        <w:rPr>
          <w:rFonts w:ascii="Calibri" w:cs="Calibri"/>
          <w:i/>
          <w:iCs/>
        </w:rPr>
        <w:t>21</w:t>
      </w:r>
      <w:r w:rsidRPr="002639DC">
        <w:rPr>
          <w:rFonts w:ascii="Calibri" w:cs="Calibri"/>
        </w:rPr>
        <w:t>(12), 1885–1894. https://doi.org/10.1111/ele.13164</w:t>
      </w:r>
    </w:p>
    <w:p w14:paraId="50258095" w14:textId="77777777" w:rsidR="002639DC" w:rsidRPr="002639DC" w:rsidRDefault="002639DC" w:rsidP="002639DC">
      <w:pPr>
        <w:pStyle w:val="Bibliography"/>
        <w:rPr>
          <w:rFonts w:ascii="Calibri" w:cs="Calibri"/>
        </w:rPr>
      </w:pPr>
      <w:r w:rsidRPr="002639DC">
        <w:rPr>
          <w:rFonts w:ascii="Calibri" w:cs="Calibri"/>
        </w:rPr>
        <w:t xml:space="preserve">Kollias, G. V., Sydenstricker, K. V., Kollias, H. W., Ley, D. H., Hosseini, P. R., Connolly, V., &amp; Dhondt, A. A. (2004). Experimental infection of House Finches with Mycoplasma gallisepticum. </w:t>
      </w:r>
      <w:r w:rsidRPr="002639DC">
        <w:rPr>
          <w:rFonts w:ascii="Calibri" w:cs="Calibri"/>
          <w:i/>
          <w:iCs/>
        </w:rPr>
        <w:t>Journal of Wildlife Diseases</w:t>
      </w:r>
      <w:r w:rsidRPr="002639DC">
        <w:rPr>
          <w:rFonts w:ascii="Calibri" w:cs="Calibri"/>
        </w:rPr>
        <w:t xml:space="preserve">, </w:t>
      </w:r>
      <w:r w:rsidRPr="002639DC">
        <w:rPr>
          <w:rFonts w:ascii="Calibri" w:cs="Calibri"/>
          <w:i/>
          <w:iCs/>
        </w:rPr>
        <w:t>40</w:t>
      </w:r>
      <w:r w:rsidRPr="002639DC">
        <w:rPr>
          <w:rFonts w:ascii="Calibri" w:cs="Calibri"/>
        </w:rPr>
        <w:t>(1), 79–86. https://doi.org/10.7589/0090-3558-40.1.79</w:t>
      </w:r>
    </w:p>
    <w:p w14:paraId="49C2C652" w14:textId="77777777" w:rsidR="002639DC" w:rsidRPr="002639DC" w:rsidRDefault="002639DC" w:rsidP="002639DC">
      <w:pPr>
        <w:pStyle w:val="Bibliography"/>
        <w:rPr>
          <w:rFonts w:ascii="Calibri" w:cs="Calibri"/>
        </w:rPr>
      </w:pPr>
      <w:r w:rsidRPr="002639DC">
        <w:rPr>
          <w:rFonts w:ascii="Calibri" w:cs="Calibri"/>
        </w:rPr>
        <w:t xml:space="preserve">Kulkarni, S., &amp; Heeb, P. (2007). Social and sexual behaviours aid transmission of bacteria in birds. </w:t>
      </w:r>
      <w:r w:rsidRPr="002639DC">
        <w:rPr>
          <w:rFonts w:ascii="Calibri" w:cs="Calibri"/>
          <w:i/>
          <w:iCs/>
        </w:rPr>
        <w:t>Behavioural Processes</w:t>
      </w:r>
      <w:r w:rsidRPr="002639DC">
        <w:rPr>
          <w:rFonts w:ascii="Calibri" w:cs="Calibri"/>
        </w:rPr>
        <w:t xml:space="preserve">, </w:t>
      </w:r>
      <w:r w:rsidRPr="002639DC">
        <w:rPr>
          <w:rFonts w:ascii="Calibri" w:cs="Calibri"/>
          <w:i/>
          <w:iCs/>
        </w:rPr>
        <w:t>74</w:t>
      </w:r>
      <w:r w:rsidRPr="002639DC">
        <w:rPr>
          <w:rFonts w:ascii="Calibri" w:cs="Calibri"/>
        </w:rPr>
        <w:t>(1), 88–92. https://doi.org/10.1016/j.beproc.2006.10.005</w:t>
      </w:r>
    </w:p>
    <w:p w14:paraId="503F0ABC" w14:textId="77777777" w:rsidR="002639DC" w:rsidRPr="002639DC" w:rsidRDefault="002639DC" w:rsidP="002639DC">
      <w:pPr>
        <w:pStyle w:val="Bibliography"/>
        <w:rPr>
          <w:rFonts w:ascii="Calibri" w:cs="Calibri"/>
        </w:rPr>
      </w:pPr>
      <w:r w:rsidRPr="002639DC">
        <w:rPr>
          <w:rFonts w:ascii="Calibri" w:cs="Calibri"/>
        </w:rPr>
        <w:t xml:space="preserve">Lachish, S., Knowles, S. C. L., Alves, R., Wood, M. J., &amp; Sheldon, B. C. (2011). Infection dynamics of endemic malaria in a wild bird population: Parasite species-dependent drivers of spatial and temporal variation in transmission rates: Infection dynamics of endemic avian malaria. </w:t>
      </w:r>
      <w:r w:rsidRPr="002639DC">
        <w:rPr>
          <w:rFonts w:ascii="Calibri" w:cs="Calibri"/>
          <w:i/>
          <w:iCs/>
        </w:rPr>
        <w:t>Journal of Animal Ecology</w:t>
      </w:r>
      <w:r w:rsidRPr="002639DC">
        <w:rPr>
          <w:rFonts w:ascii="Calibri" w:cs="Calibri"/>
        </w:rPr>
        <w:t xml:space="preserve">, </w:t>
      </w:r>
      <w:r w:rsidRPr="002639DC">
        <w:rPr>
          <w:rFonts w:ascii="Calibri" w:cs="Calibri"/>
          <w:i/>
          <w:iCs/>
        </w:rPr>
        <w:t>80</w:t>
      </w:r>
      <w:r w:rsidRPr="002639DC">
        <w:rPr>
          <w:rFonts w:ascii="Calibri" w:cs="Calibri"/>
        </w:rPr>
        <w:t>(6), 1207–1216. https://doi.org/10.1111/j.1365-2656.2011.01893.x</w:t>
      </w:r>
    </w:p>
    <w:p w14:paraId="1D8BAB0F" w14:textId="77777777" w:rsidR="002639DC" w:rsidRPr="002639DC" w:rsidRDefault="002639DC" w:rsidP="002639DC">
      <w:pPr>
        <w:pStyle w:val="Bibliography"/>
        <w:rPr>
          <w:rFonts w:ascii="Calibri" w:cs="Calibri"/>
        </w:rPr>
      </w:pPr>
      <w:r w:rsidRPr="002639DC">
        <w:rPr>
          <w:rFonts w:ascii="Calibri" w:cs="Calibri"/>
        </w:rPr>
        <w:lastRenderedPageBreak/>
        <w:t xml:space="preserve">Leon, A. E., &amp; Hawley, D. M. (2017). Host responses to pathogen priming in a natural songbird host. </w:t>
      </w:r>
      <w:r w:rsidRPr="002639DC">
        <w:rPr>
          <w:rFonts w:ascii="Calibri" w:cs="Calibri"/>
          <w:i/>
          <w:iCs/>
        </w:rPr>
        <w:t>Ecohealth</w:t>
      </w:r>
      <w:r w:rsidRPr="002639DC">
        <w:rPr>
          <w:rFonts w:ascii="Calibri" w:cs="Calibri"/>
        </w:rPr>
        <w:t xml:space="preserve">, </w:t>
      </w:r>
      <w:r w:rsidRPr="002639DC">
        <w:rPr>
          <w:rFonts w:ascii="Calibri" w:cs="Calibri"/>
          <w:i/>
          <w:iCs/>
        </w:rPr>
        <w:t>14</w:t>
      </w:r>
      <w:r w:rsidRPr="002639DC">
        <w:rPr>
          <w:rFonts w:ascii="Calibri" w:cs="Calibri"/>
        </w:rPr>
        <w:t>, 793–804.</w:t>
      </w:r>
    </w:p>
    <w:p w14:paraId="122E3359" w14:textId="77777777" w:rsidR="002639DC" w:rsidRPr="002639DC" w:rsidRDefault="002639DC" w:rsidP="002639DC">
      <w:pPr>
        <w:pStyle w:val="Bibliography"/>
        <w:rPr>
          <w:rFonts w:ascii="Calibri" w:cs="Calibri"/>
        </w:rPr>
      </w:pPr>
      <w:r w:rsidRPr="002639DC">
        <w:rPr>
          <w:rFonts w:ascii="Calibri" w:cs="Calibri"/>
        </w:rPr>
        <w:t xml:space="preserve">Li, M. Y., &amp; Muldowney, J. S. (1995). Global stability for the SEIR model in epidemiology. </w:t>
      </w:r>
      <w:r w:rsidRPr="002639DC">
        <w:rPr>
          <w:rFonts w:ascii="Calibri" w:cs="Calibri"/>
          <w:i/>
          <w:iCs/>
        </w:rPr>
        <w:t>Mathematical Biosciences</w:t>
      </w:r>
      <w:r w:rsidRPr="002639DC">
        <w:rPr>
          <w:rFonts w:ascii="Calibri" w:cs="Calibri"/>
        </w:rPr>
        <w:t xml:space="preserve">, </w:t>
      </w:r>
      <w:r w:rsidRPr="002639DC">
        <w:rPr>
          <w:rFonts w:ascii="Calibri" w:cs="Calibri"/>
          <w:i/>
          <w:iCs/>
        </w:rPr>
        <w:t>125</w:t>
      </w:r>
      <w:r w:rsidRPr="002639DC">
        <w:rPr>
          <w:rFonts w:ascii="Calibri" w:cs="Calibri"/>
        </w:rPr>
        <w:t>(2), 155–164.</w:t>
      </w:r>
    </w:p>
    <w:p w14:paraId="11748918" w14:textId="77777777" w:rsidR="002639DC" w:rsidRPr="002639DC" w:rsidRDefault="002639DC" w:rsidP="002639DC">
      <w:pPr>
        <w:pStyle w:val="Bibliography"/>
        <w:rPr>
          <w:rFonts w:ascii="Calibri" w:cs="Calibri"/>
        </w:rPr>
      </w:pPr>
      <w:r w:rsidRPr="002639DC">
        <w:rPr>
          <w:rFonts w:ascii="Calibri" w:cs="Calibri"/>
        </w:rPr>
        <w:t xml:space="preserve">Lloyd-Smith, J. O., Schreiber, S. J., Kopp, P. E., &amp; Getz, W. M. (2005). Superspreading and the effect of individual variation on disease emergence. </w:t>
      </w:r>
      <w:r w:rsidRPr="002639DC">
        <w:rPr>
          <w:rFonts w:ascii="Calibri" w:cs="Calibri"/>
          <w:i/>
          <w:iCs/>
        </w:rPr>
        <w:t>Nature</w:t>
      </w:r>
      <w:r w:rsidRPr="002639DC">
        <w:rPr>
          <w:rFonts w:ascii="Calibri" w:cs="Calibri"/>
        </w:rPr>
        <w:t xml:space="preserve">, </w:t>
      </w:r>
      <w:r w:rsidRPr="002639DC">
        <w:rPr>
          <w:rFonts w:ascii="Calibri" w:cs="Calibri"/>
          <w:i/>
          <w:iCs/>
        </w:rPr>
        <w:t>438</w:t>
      </w:r>
      <w:r w:rsidRPr="002639DC">
        <w:rPr>
          <w:rFonts w:ascii="Calibri" w:cs="Calibri"/>
        </w:rPr>
        <w:t>(7066), 355–359. https://doi.org/10.1038/nature04153</w:t>
      </w:r>
    </w:p>
    <w:p w14:paraId="3EBC1431" w14:textId="77777777" w:rsidR="002639DC" w:rsidRPr="002639DC" w:rsidRDefault="002639DC" w:rsidP="002639DC">
      <w:pPr>
        <w:pStyle w:val="Bibliography"/>
        <w:rPr>
          <w:rFonts w:ascii="Calibri" w:cs="Calibri"/>
        </w:rPr>
      </w:pPr>
      <w:r w:rsidRPr="002639DC">
        <w:rPr>
          <w:rFonts w:ascii="Calibri" w:cs="Calibri"/>
        </w:rPr>
        <w:t xml:space="preserve">Love, A. C., Grisham, K., Krall, J. B., Goodchild, C. G., &amp; DuRant, S. E. (2021). Perception of infection: Disease-related social cues influence immunity in songbirds. </w:t>
      </w:r>
      <w:r w:rsidRPr="002639DC">
        <w:rPr>
          <w:rFonts w:ascii="Calibri" w:cs="Calibri"/>
          <w:i/>
          <w:iCs/>
        </w:rPr>
        <w:t>Biology Letters</w:t>
      </w:r>
      <w:r w:rsidRPr="002639DC">
        <w:rPr>
          <w:rFonts w:ascii="Calibri" w:cs="Calibri"/>
        </w:rPr>
        <w:t xml:space="preserve">, </w:t>
      </w:r>
      <w:r w:rsidRPr="002639DC">
        <w:rPr>
          <w:rFonts w:ascii="Calibri" w:cs="Calibri"/>
          <w:i/>
          <w:iCs/>
        </w:rPr>
        <w:t>17</w:t>
      </w:r>
      <w:r w:rsidRPr="002639DC">
        <w:rPr>
          <w:rFonts w:ascii="Calibri" w:cs="Calibri"/>
        </w:rPr>
        <w:t>(6), 20210125. https://doi.org/10.1098/rsbl.2021.0125</w:t>
      </w:r>
    </w:p>
    <w:p w14:paraId="505F77AA" w14:textId="77777777" w:rsidR="002639DC" w:rsidRPr="002639DC" w:rsidRDefault="002639DC" w:rsidP="002639DC">
      <w:pPr>
        <w:pStyle w:val="Bibliography"/>
        <w:rPr>
          <w:rFonts w:ascii="Calibri" w:cs="Calibri"/>
        </w:rPr>
      </w:pPr>
      <w:r w:rsidRPr="002639DC">
        <w:rPr>
          <w:rFonts w:ascii="Calibri" w:cs="Calibri"/>
        </w:rPr>
        <w:t xml:space="preserve">Love, A. C., Lovern, M. B., &amp; DuRant, S. E. (2017). Captivity influences immune responses, stress endocrinology, and organ size in house sparrows (Passer domesticus). </w:t>
      </w:r>
      <w:r w:rsidRPr="002639DC">
        <w:rPr>
          <w:rFonts w:ascii="Calibri" w:cs="Calibri"/>
          <w:i/>
          <w:iCs/>
        </w:rPr>
        <w:t>General and Comparative Endocrinology</w:t>
      </w:r>
      <w:r w:rsidRPr="002639DC">
        <w:rPr>
          <w:rFonts w:ascii="Calibri" w:cs="Calibri"/>
        </w:rPr>
        <w:t xml:space="preserve">, </w:t>
      </w:r>
      <w:r w:rsidRPr="002639DC">
        <w:rPr>
          <w:rFonts w:ascii="Calibri" w:cs="Calibri"/>
          <w:i/>
          <w:iCs/>
        </w:rPr>
        <w:t>252</w:t>
      </w:r>
      <w:r w:rsidRPr="002639DC">
        <w:rPr>
          <w:rFonts w:ascii="Calibri" w:cs="Calibri"/>
        </w:rPr>
        <w:t>, 18–26. https://doi.org/10.1016/j.ygcen.2017.07.014</w:t>
      </w:r>
    </w:p>
    <w:p w14:paraId="797E82C1" w14:textId="77777777" w:rsidR="002639DC" w:rsidRPr="002639DC" w:rsidRDefault="002639DC" w:rsidP="002639DC">
      <w:pPr>
        <w:pStyle w:val="Bibliography"/>
        <w:rPr>
          <w:rFonts w:ascii="Calibri" w:cs="Calibri"/>
        </w:rPr>
      </w:pPr>
      <w:r w:rsidRPr="002639DC">
        <w:rPr>
          <w:rFonts w:ascii="Calibri" w:cs="Calibri"/>
        </w:rPr>
        <w:t xml:space="preserve">McCurdy, D. G., Shutler, D., Mullie, A., &amp; Forbes, M. R. (1998). Sex-Biased Parasitism of Avian Hosts: Relations to Blood Parasite Taxon and Mating System. </w:t>
      </w:r>
      <w:r w:rsidRPr="002639DC">
        <w:rPr>
          <w:rFonts w:ascii="Calibri" w:cs="Calibri"/>
          <w:i/>
          <w:iCs/>
        </w:rPr>
        <w:t>Oikos</w:t>
      </w:r>
      <w:r w:rsidRPr="002639DC">
        <w:rPr>
          <w:rFonts w:ascii="Calibri" w:cs="Calibri"/>
        </w:rPr>
        <w:t xml:space="preserve">, </w:t>
      </w:r>
      <w:r w:rsidRPr="002639DC">
        <w:rPr>
          <w:rFonts w:ascii="Calibri" w:cs="Calibri"/>
          <w:i/>
          <w:iCs/>
        </w:rPr>
        <w:t>82</w:t>
      </w:r>
      <w:r w:rsidRPr="002639DC">
        <w:rPr>
          <w:rFonts w:ascii="Calibri" w:cs="Calibri"/>
        </w:rPr>
        <w:t>(2), 303. https://doi.org/10.2307/3546970</w:t>
      </w:r>
    </w:p>
    <w:p w14:paraId="056B29B1" w14:textId="77777777" w:rsidR="002639DC" w:rsidRPr="002639DC" w:rsidRDefault="002639DC" w:rsidP="002639DC">
      <w:pPr>
        <w:pStyle w:val="Bibliography"/>
        <w:rPr>
          <w:rFonts w:ascii="Calibri" w:cs="Calibri"/>
        </w:rPr>
      </w:pPr>
      <w:r w:rsidRPr="002639DC">
        <w:rPr>
          <w:rFonts w:ascii="Calibri" w:cs="Calibri"/>
        </w:rPr>
        <w:t xml:space="preserve">Mcgraw, K. J., &amp; Hill, G. E. (2002). Testing reversed sexual dominance from an ontogenetic perspective: Juvenile female House Finches Carpodacus mexicanus are dominant to juvenile males: Reversed sexual dominance in House Finches. </w:t>
      </w:r>
      <w:r w:rsidRPr="002639DC">
        <w:rPr>
          <w:rFonts w:ascii="Calibri" w:cs="Calibri"/>
          <w:i/>
          <w:iCs/>
        </w:rPr>
        <w:t>Ibis</w:t>
      </w:r>
      <w:r w:rsidRPr="002639DC">
        <w:rPr>
          <w:rFonts w:ascii="Calibri" w:cs="Calibri"/>
        </w:rPr>
        <w:t xml:space="preserve">, </w:t>
      </w:r>
      <w:r w:rsidRPr="002639DC">
        <w:rPr>
          <w:rFonts w:ascii="Calibri" w:cs="Calibri"/>
          <w:i/>
          <w:iCs/>
        </w:rPr>
        <w:t>144</w:t>
      </w:r>
      <w:r w:rsidRPr="002639DC">
        <w:rPr>
          <w:rFonts w:ascii="Calibri" w:cs="Calibri"/>
        </w:rPr>
        <w:t>(1), 139–142. https://doi.org/10.1046/j.0019-1019.2001.00003.x</w:t>
      </w:r>
    </w:p>
    <w:p w14:paraId="7B2B1D46" w14:textId="77777777" w:rsidR="002639DC" w:rsidRPr="002639DC" w:rsidRDefault="002639DC" w:rsidP="002639DC">
      <w:pPr>
        <w:pStyle w:val="Bibliography"/>
        <w:rPr>
          <w:rFonts w:ascii="Calibri" w:cs="Calibri"/>
        </w:rPr>
      </w:pPr>
      <w:r w:rsidRPr="002639DC">
        <w:rPr>
          <w:rFonts w:ascii="Calibri" w:cs="Calibri"/>
        </w:rPr>
        <w:t xml:space="preserve">Miller, M. W., &amp; Conner, M. M. (2005). Epidemiology of chronic wasting disease in free-ranging mule deer: Spatial, temporal, and demographic influences on observed prevalence </w:t>
      </w:r>
      <w:r w:rsidRPr="002639DC">
        <w:rPr>
          <w:rFonts w:ascii="Calibri" w:cs="Calibri"/>
        </w:rPr>
        <w:lastRenderedPageBreak/>
        <w:t xml:space="preserve">patterns. </w:t>
      </w:r>
      <w:r w:rsidRPr="002639DC">
        <w:rPr>
          <w:rFonts w:ascii="Calibri" w:cs="Calibri"/>
          <w:i/>
          <w:iCs/>
        </w:rPr>
        <w:t>Journal of Wildlife Diseases</w:t>
      </w:r>
      <w:r w:rsidRPr="002639DC">
        <w:rPr>
          <w:rFonts w:ascii="Calibri" w:cs="Calibri"/>
        </w:rPr>
        <w:t xml:space="preserve">, </w:t>
      </w:r>
      <w:r w:rsidRPr="002639DC">
        <w:rPr>
          <w:rFonts w:ascii="Calibri" w:cs="Calibri"/>
          <w:i/>
          <w:iCs/>
        </w:rPr>
        <w:t>41</w:t>
      </w:r>
      <w:r w:rsidRPr="002639DC">
        <w:rPr>
          <w:rFonts w:ascii="Calibri" w:cs="Calibri"/>
        </w:rPr>
        <w:t>(2), 275–290. https://doi.org/10.7589/0090-3558-41.2.275</w:t>
      </w:r>
    </w:p>
    <w:p w14:paraId="400F0C8D" w14:textId="77777777" w:rsidR="002639DC" w:rsidRPr="002639DC" w:rsidRDefault="002639DC" w:rsidP="002639DC">
      <w:pPr>
        <w:pStyle w:val="Bibliography"/>
        <w:rPr>
          <w:rFonts w:ascii="Calibri" w:cs="Calibri"/>
        </w:rPr>
      </w:pPr>
      <w:r w:rsidRPr="002639DC">
        <w:rPr>
          <w:rFonts w:ascii="Calibri" w:cs="Calibri"/>
        </w:rPr>
        <w:t xml:space="preserve">Mougeot, F., Redpath, S. M., Piertney, S. B., &amp; Hudson, P. J. (2005). Separating Behavioral and Physiological Mechanisms in Testosterone‐Mediated Trade‐Offs. </w:t>
      </w:r>
      <w:r w:rsidRPr="002639DC">
        <w:rPr>
          <w:rFonts w:ascii="Calibri" w:cs="Calibri"/>
          <w:i/>
          <w:iCs/>
        </w:rPr>
        <w:t>The American Naturalist</w:t>
      </w:r>
      <w:r w:rsidRPr="002639DC">
        <w:rPr>
          <w:rFonts w:ascii="Calibri" w:cs="Calibri"/>
        </w:rPr>
        <w:t xml:space="preserve">, </w:t>
      </w:r>
      <w:r w:rsidRPr="002639DC">
        <w:rPr>
          <w:rFonts w:ascii="Calibri" w:cs="Calibri"/>
          <w:i/>
          <w:iCs/>
        </w:rPr>
        <w:t>166</w:t>
      </w:r>
      <w:r w:rsidRPr="002639DC">
        <w:rPr>
          <w:rFonts w:ascii="Calibri" w:cs="Calibri"/>
        </w:rPr>
        <w:t>(2), 158–168. https://doi.org/10.1086/431256</w:t>
      </w:r>
    </w:p>
    <w:p w14:paraId="1C615C76" w14:textId="77777777" w:rsidR="002639DC" w:rsidRPr="002639DC" w:rsidRDefault="002639DC" w:rsidP="002639DC">
      <w:pPr>
        <w:pStyle w:val="Bibliography"/>
        <w:rPr>
          <w:rFonts w:ascii="Calibri" w:cs="Calibri"/>
        </w:rPr>
      </w:pPr>
      <w:r w:rsidRPr="002639DC">
        <w:rPr>
          <w:rFonts w:ascii="Calibri" w:cs="Calibri"/>
        </w:rPr>
        <w:t xml:space="preserve">Moyers, S. C., Adelman, J. S., Farine, D. R., Thomason, C. A., &amp; Hawley, D. M. (2018). Feeder density enhances house finch disease transmission in experimental epidemics. </w:t>
      </w:r>
      <w:r w:rsidRPr="002639DC">
        <w:rPr>
          <w:rFonts w:ascii="Calibri" w:cs="Calibri"/>
          <w:i/>
          <w:iCs/>
        </w:rPr>
        <w:t>Philosophical Transactions of the Royal Society B: Biological Sciences</w:t>
      </w:r>
      <w:r w:rsidRPr="002639DC">
        <w:rPr>
          <w:rFonts w:ascii="Calibri" w:cs="Calibri"/>
        </w:rPr>
        <w:t xml:space="preserve">, </w:t>
      </w:r>
      <w:r w:rsidRPr="002639DC">
        <w:rPr>
          <w:rFonts w:ascii="Calibri" w:cs="Calibri"/>
          <w:i/>
          <w:iCs/>
        </w:rPr>
        <w:t>373</w:t>
      </w:r>
      <w:r w:rsidRPr="002639DC">
        <w:rPr>
          <w:rFonts w:ascii="Calibri" w:cs="Calibri"/>
        </w:rPr>
        <w:t>(1745), 20170090. https://doi.org/10.1098/rstb.2017.0090</w:t>
      </w:r>
    </w:p>
    <w:p w14:paraId="5E24C92C" w14:textId="77777777" w:rsidR="002639DC" w:rsidRPr="002639DC" w:rsidRDefault="002639DC" w:rsidP="002639DC">
      <w:pPr>
        <w:pStyle w:val="Bibliography"/>
        <w:rPr>
          <w:rFonts w:ascii="Calibri" w:cs="Calibri"/>
        </w:rPr>
      </w:pPr>
      <w:r w:rsidRPr="002639DC">
        <w:rPr>
          <w:rFonts w:ascii="Calibri" w:cs="Calibri"/>
        </w:rPr>
        <w:t xml:space="preserve">Nielsen, Ó. K., Morrill, A., Skírnisson, K., Stenkewitz, U., Pálsdóttir, G. R., &amp; Forbes, M. R. (2020). Host sex and age typically explain variation in parasitism of rock ptarmigan: Implications for identifying determinants of exposure and susceptibility. </w:t>
      </w:r>
      <w:r w:rsidRPr="002639DC">
        <w:rPr>
          <w:rFonts w:ascii="Calibri" w:cs="Calibri"/>
          <w:i/>
          <w:iCs/>
        </w:rPr>
        <w:t>Journal of Avian Biology</w:t>
      </w:r>
      <w:r w:rsidRPr="002639DC">
        <w:rPr>
          <w:rFonts w:ascii="Calibri" w:cs="Calibri"/>
        </w:rPr>
        <w:t xml:space="preserve">, </w:t>
      </w:r>
      <w:r w:rsidRPr="002639DC">
        <w:rPr>
          <w:rFonts w:ascii="Calibri" w:cs="Calibri"/>
          <w:i/>
          <w:iCs/>
        </w:rPr>
        <w:t>51</w:t>
      </w:r>
      <w:r w:rsidRPr="002639DC">
        <w:rPr>
          <w:rFonts w:ascii="Calibri" w:cs="Calibri"/>
        </w:rPr>
        <w:t>(10), jav.02472. https://doi.org/10.1111/jav.02472</w:t>
      </w:r>
    </w:p>
    <w:p w14:paraId="44468090" w14:textId="77777777" w:rsidR="002639DC" w:rsidRPr="002639DC" w:rsidRDefault="002639DC" w:rsidP="002639DC">
      <w:pPr>
        <w:pStyle w:val="Bibliography"/>
        <w:rPr>
          <w:rFonts w:ascii="Calibri" w:cs="Calibri"/>
        </w:rPr>
      </w:pPr>
      <w:r w:rsidRPr="002639DC">
        <w:rPr>
          <w:rFonts w:ascii="Calibri" w:cs="Calibri"/>
        </w:rPr>
        <w:t xml:space="preserve">Nolan, P. M., Hill, G. E., &amp; Stoehr, A. M. (1998). Sex, size, and plumage redness predict house finch survival in an epidemic. </w:t>
      </w:r>
      <w:r w:rsidRPr="002639DC">
        <w:rPr>
          <w:rFonts w:ascii="Calibri" w:cs="Calibri"/>
          <w:i/>
          <w:iCs/>
        </w:rPr>
        <w:t>Proceedings of the Royal Society of London. Series B: Biological Sciences</w:t>
      </w:r>
      <w:r w:rsidRPr="002639DC">
        <w:rPr>
          <w:rFonts w:ascii="Calibri" w:cs="Calibri"/>
        </w:rPr>
        <w:t xml:space="preserve">, </w:t>
      </w:r>
      <w:r w:rsidRPr="002639DC">
        <w:rPr>
          <w:rFonts w:ascii="Calibri" w:cs="Calibri"/>
          <w:i/>
          <w:iCs/>
        </w:rPr>
        <w:t>265</w:t>
      </w:r>
      <w:r w:rsidRPr="002639DC">
        <w:rPr>
          <w:rFonts w:ascii="Calibri" w:cs="Calibri"/>
        </w:rPr>
        <w:t>(1400), 961–965. https://doi.org/10.1098/rspb.1998.0384</w:t>
      </w:r>
    </w:p>
    <w:p w14:paraId="5FBEFD83" w14:textId="77777777" w:rsidR="002639DC" w:rsidRPr="002639DC" w:rsidRDefault="002639DC" w:rsidP="002639DC">
      <w:pPr>
        <w:pStyle w:val="Bibliography"/>
        <w:rPr>
          <w:rFonts w:ascii="Calibri" w:cs="Calibri"/>
        </w:rPr>
      </w:pPr>
      <w:r w:rsidRPr="002639DC">
        <w:rPr>
          <w:rFonts w:ascii="Calibri" w:cs="Calibri"/>
        </w:rPr>
        <w:t xml:space="preserve">Owen, J. C., Cornelius, E. A., Arsnoe, D. A., &amp; Garvin, M. C. (2013). Leukocyte Response to Eastern Equine Encephalomyelitis Virus in a Wild Passerine Bird. </w:t>
      </w:r>
      <w:r w:rsidRPr="002639DC">
        <w:rPr>
          <w:rFonts w:ascii="Calibri" w:cs="Calibri"/>
          <w:i/>
          <w:iCs/>
        </w:rPr>
        <w:t>Avian Diseases</w:t>
      </w:r>
      <w:r w:rsidRPr="002639DC">
        <w:rPr>
          <w:rFonts w:ascii="Calibri" w:cs="Calibri"/>
        </w:rPr>
        <w:t xml:space="preserve">, </w:t>
      </w:r>
      <w:r w:rsidRPr="002639DC">
        <w:rPr>
          <w:rFonts w:ascii="Calibri" w:cs="Calibri"/>
          <w:i/>
          <w:iCs/>
        </w:rPr>
        <w:t>57</w:t>
      </w:r>
      <w:r w:rsidRPr="002639DC">
        <w:rPr>
          <w:rFonts w:ascii="Calibri" w:cs="Calibri"/>
        </w:rPr>
        <w:t>(4), 744–749. https://doi.org/10.1637/10574-051513-Reg.1</w:t>
      </w:r>
    </w:p>
    <w:p w14:paraId="3D106554" w14:textId="77777777" w:rsidR="002639DC" w:rsidRPr="002639DC" w:rsidRDefault="002639DC" w:rsidP="002639DC">
      <w:pPr>
        <w:pStyle w:val="Bibliography"/>
        <w:rPr>
          <w:rFonts w:ascii="Calibri" w:cs="Calibri"/>
        </w:rPr>
      </w:pPr>
      <w:r w:rsidRPr="002639DC">
        <w:rPr>
          <w:rFonts w:ascii="Calibri" w:cs="Calibri"/>
        </w:rPr>
        <w:t xml:space="preserve">Owen, J. C., &amp; Moore, F. R. (2008). Relationship between energetic condition and indicators of immune function in thrushes during spring migration. </w:t>
      </w:r>
      <w:r w:rsidRPr="002639DC">
        <w:rPr>
          <w:rFonts w:ascii="Calibri" w:cs="Calibri"/>
          <w:i/>
          <w:iCs/>
        </w:rPr>
        <w:t>Canadian Journal of Zoology</w:t>
      </w:r>
      <w:r w:rsidRPr="002639DC">
        <w:rPr>
          <w:rFonts w:ascii="Calibri" w:cs="Calibri"/>
        </w:rPr>
        <w:t xml:space="preserve">, </w:t>
      </w:r>
      <w:r w:rsidRPr="002639DC">
        <w:rPr>
          <w:rFonts w:ascii="Calibri" w:cs="Calibri"/>
          <w:i/>
          <w:iCs/>
        </w:rPr>
        <w:t>86</w:t>
      </w:r>
      <w:r w:rsidRPr="002639DC">
        <w:rPr>
          <w:rFonts w:ascii="Calibri" w:cs="Calibri"/>
        </w:rPr>
        <w:t>(7), 638–647. https://doi.org/10.1139/Z08-038</w:t>
      </w:r>
    </w:p>
    <w:p w14:paraId="390C2015" w14:textId="77777777" w:rsidR="002639DC" w:rsidRPr="002639DC" w:rsidRDefault="002639DC" w:rsidP="002639DC">
      <w:pPr>
        <w:pStyle w:val="Bibliography"/>
        <w:rPr>
          <w:rFonts w:ascii="Calibri" w:cs="Calibri"/>
        </w:rPr>
      </w:pPr>
      <w:r w:rsidRPr="002639DC">
        <w:rPr>
          <w:rFonts w:ascii="Calibri" w:cs="Calibri"/>
        </w:rPr>
        <w:lastRenderedPageBreak/>
        <w:t xml:space="preserve">Paull, S. H., Song, S., McClure, K. M., Sackett, L. C., Kilpatrick, A. M., &amp; Johnson, P. T. (2012). From superspreaders to disease hotspots: Linking transmission across hosts and space. </w:t>
      </w:r>
      <w:r w:rsidRPr="002639DC">
        <w:rPr>
          <w:rFonts w:ascii="Calibri" w:cs="Calibri"/>
          <w:i/>
          <w:iCs/>
        </w:rPr>
        <w:t>Frontiers in Ecology and the Environment</w:t>
      </w:r>
      <w:r w:rsidRPr="002639DC">
        <w:rPr>
          <w:rFonts w:ascii="Calibri" w:cs="Calibri"/>
        </w:rPr>
        <w:t xml:space="preserve">, </w:t>
      </w:r>
      <w:r w:rsidRPr="002639DC">
        <w:rPr>
          <w:rFonts w:ascii="Calibri" w:cs="Calibri"/>
          <w:i/>
          <w:iCs/>
        </w:rPr>
        <w:t>10</w:t>
      </w:r>
      <w:r w:rsidRPr="002639DC">
        <w:rPr>
          <w:rFonts w:ascii="Calibri" w:cs="Calibri"/>
        </w:rPr>
        <w:t>(2), 75–82. https://doi.org/10.1890/110111</w:t>
      </w:r>
    </w:p>
    <w:p w14:paraId="213793EE" w14:textId="77777777" w:rsidR="002639DC" w:rsidRPr="002639DC" w:rsidRDefault="002639DC" w:rsidP="002639DC">
      <w:pPr>
        <w:pStyle w:val="Bibliography"/>
        <w:rPr>
          <w:rFonts w:ascii="Calibri" w:cs="Calibri"/>
        </w:rPr>
      </w:pPr>
      <w:r w:rsidRPr="002639DC">
        <w:rPr>
          <w:rFonts w:ascii="Calibri" w:cs="Calibri"/>
        </w:rPr>
        <w:t xml:space="preserve">Perkins, S. E., Ferrari, M. F., &amp; Hudson, P. J. (2008). The effects of social structure and sex-biased transmission on macroparasite infection. </w:t>
      </w:r>
      <w:r w:rsidRPr="002639DC">
        <w:rPr>
          <w:rFonts w:ascii="Calibri" w:cs="Calibri"/>
          <w:i/>
          <w:iCs/>
        </w:rPr>
        <w:t>Parasitology</w:t>
      </w:r>
      <w:r w:rsidRPr="002639DC">
        <w:rPr>
          <w:rFonts w:ascii="Calibri" w:cs="Calibri"/>
        </w:rPr>
        <w:t xml:space="preserve">, </w:t>
      </w:r>
      <w:r w:rsidRPr="002639DC">
        <w:rPr>
          <w:rFonts w:ascii="Calibri" w:cs="Calibri"/>
          <w:i/>
          <w:iCs/>
        </w:rPr>
        <w:t>135</w:t>
      </w:r>
      <w:r w:rsidRPr="002639DC">
        <w:rPr>
          <w:rFonts w:ascii="Calibri" w:cs="Calibri"/>
        </w:rPr>
        <w:t>(13), 1561–1569. https://doi.org/10.1017/S0031182008000449</w:t>
      </w:r>
    </w:p>
    <w:p w14:paraId="6C32E42E" w14:textId="77777777" w:rsidR="002639DC" w:rsidRPr="002639DC" w:rsidRDefault="002639DC" w:rsidP="002639DC">
      <w:pPr>
        <w:pStyle w:val="Bibliography"/>
        <w:rPr>
          <w:rFonts w:ascii="Calibri" w:cs="Calibri"/>
        </w:rPr>
      </w:pPr>
      <w:r w:rsidRPr="002639DC">
        <w:rPr>
          <w:rFonts w:ascii="Calibri" w:cs="Calibri"/>
        </w:rPr>
        <w:t xml:space="preserve">Preston, D. L., &amp; Sauer, E. L. (2020). Infection pathology and competition mediate host biomass overcompensation from disease. </w:t>
      </w:r>
      <w:r w:rsidRPr="002639DC">
        <w:rPr>
          <w:rFonts w:ascii="Calibri" w:cs="Calibri"/>
          <w:i/>
          <w:iCs/>
        </w:rPr>
        <w:t>Ecology</w:t>
      </w:r>
      <w:r w:rsidRPr="002639DC">
        <w:rPr>
          <w:rFonts w:ascii="Calibri" w:cs="Calibri"/>
        </w:rPr>
        <w:t xml:space="preserve">, </w:t>
      </w:r>
      <w:r w:rsidRPr="002639DC">
        <w:rPr>
          <w:rFonts w:ascii="Calibri" w:cs="Calibri"/>
          <w:i/>
          <w:iCs/>
        </w:rPr>
        <w:t>101</w:t>
      </w:r>
      <w:r w:rsidRPr="002639DC">
        <w:rPr>
          <w:rFonts w:ascii="Calibri" w:cs="Calibri"/>
        </w:rPr>
        <w:t>(4). https://doi.org/10.1002/ecy.3000</w:t>
      </w:r>
    </w:p>
    <w:p w14:paraId="7768A6ED" w14:textId="77777777" w:rsidR="002639DC" w:rsidRPr="002639DC" w:rsidRDefault="002639DC" w:rsidP="002639DC">
      <w:pPr>
        <w:pStyle w:val="Bibliography"/>
        <w:rPr>
          <w:rFonts w:ascii="Calibri" w:cs="Calibri"/>
        </w:rPr>
      </w:pPr>
      <w:r w:rsidRPr="002639DC">
        <w:rPr>
          <w:rFonts w:ascii="Calibri" w:cs="Calibri"/>
        </w:rPr>
        <w:t xml:space="preserve">RStudio Team. (2021). </w:t>
      </w:r>
      <w:r w:rsidRPr="002639DC">
        <w:rPr>
          <w:rFonts w:ascii="Calibri" w:cs="Calibri"/>
          <w:i/>
          <w:iCs/>
        </w:rPr>
        <w:t>RStudio: Integrated Development Environment for R</w:t>
      </w:r>
      <w:r w:rsidRPr="002639DC">
        <w:rPr>
          <w:rFonts w:ascii="Calibri" w:cs="Calibri"/>
        </w:rPr>
        <w:t>. RStudio, PBC. http://www.rstudio.com/</w:t>
      </w:r>
    </w:p>
    <w:p w14:paraId="04D8D9CC" w14:textId="77777777" w:rsidR="002639DC" w:rsidRPr="002639DC" w:rsidRDefault="002639DC" w:rsidP="002639DC">
      <w:pPr>
        <w:pStyle w:val="Bibliography"/>
        <w:rPr>
          <w:rFonts w:ascii="Calibri" w:cs="Calibri"/>
        </w:rPr>
      </w:pPr>
      <w:r w:rsidRPr="002639DC">
        <w:rPr>
          <w:rFonts w:ascii="Calibri" w:cs="Calibri"/>
        </w:rPr>
        <w:t xml:space="preserve">Sawicka, A., Durkalec, M., Tomczyk, G., &amp; Kursa, O. (2020). Occurrence of Mycoplasma gallisepticum in wild birds: A systematic review and meta-analysis. </w:t>
      </w:r>
      <w:r w:rsidRPr="002639DC">
        <w:rPr>
          <w:rFonts w:ascii="Calibri" w:cs="Calibri"/>
          <w:i/>
          <w:iCs/>
        </w:rPr>
        <w:t>PLOS ONE</w:t>
      </w:r>
      <w:r w:rsidRPr="002639DC">
        <w:rPr>
          <w:rFonts w:ascii="Calibri" w:cs="Calibri"/>
        </w:rPr>
        <w:t xml:space="preserve">, </w:t>
      </w:r>
      <w:r w:rsidRPr="002639DC">
        <w:rPr>
          <w:rFonts w:ascii="Calibri" w:cs="Calibri"/>
          <w:i/>
          <w:iCs/>
        </w:rPr>
        <w:t>15</w:t>
      </w:r>
      <w:r w:rsidRPr="002639DC">
        <w:rPr>
          <w:rFonts w:ascii="Calibri" w:cs="Calibri"/>
        </w:rPr>
        <w:t>(4), e0231545. https://doi.org/10.1371/journal.pone.0231545</w:t>
      </w:r>
    </w:p>
    <w:p w14:paraId="0E2818CA" w14:textId="77777777" w:rsidR="002639DC" w:rsidRPr="002639DC" w:rsidRDefault="002639DC" w:rsidP="002639DC">
      <w:pPr>
        <w:pStyle w:val="Bibliography"/>
        <w:rPr>
          <w:rFonts w:ascii="Calibri" w:cs="Calibri"/>
        </w:rPr>
      </w:pPr>
      <w:r w:rsidRPr="002639DC">
        <w:rPr>
          <w:rFonts w:ascii="Calibri" w:cs="Calibri"/>
        </w:rPr>
        <w:t xml:space="preserve">Soetaert, K., Petzoldt, T., &amp; Setzer, R. W. (2010). Package deSolve: Solving initial value differential equations in R. </w:t>
      </w:r>
      <w:r w:rsidRPr="002639DC">
        <w:rPr>
          <w:rFonts w:ascii="Calibri" w:cs="Calibri"/>
          <w:i/>
          <w:iCs/>
        </w:rPr>
        <w:t>Journal of Statistical Software</w:t>
      </w:r>
      <w:r w:rsidRPr="002639DC">
        <w:rPr>
          <w:rFonts w:ascii="Calibri" w:cs="Calibri"/>
        </w:rPr>
        <w:t xml:space="preserve">, </w:t>
      </w:r>
      <w:r w:rsidRPr="002639DC">
        <w:rPr>
          <w:rFonts w:ascii="Calibri" w:cs="Calibri"/>
          <w:i/>
          <w:iCs/>
        </w:rPr>
        <w:t>33</w:t>
      </w:r>
      <w:r w:rsidRPr="002639DC">
        <w:rPr>
          <w:rFonts w:ascii="Calibri" w:cs="Calibri"/>
        </w:rPr>
        <w:t>(9), 1–25.</w:t>
      </w:r>
    </w:p>
    <w:p w14:paraId="334BC145" w14:textId="77777777" w:rsidR="002639DC" w:rsidRPr="002639DC" w:rsidRDefault="002639DC" w:rsidP="002639DC">
      <w:pPr>
        <w:pStyle w:val="Bibliography"/>
        <w:rPr>
          <w:rFonts w:ascii="Calibri" w:cs="Calibri"/>
        </w:rPr>
      </w:pPr>
      <w:r w:rsidRPr="002639DC">
        <w:rPr>
          <w:rFonts w:ascii="Calibri" w:cs="Calibri"/>
        </w:rPr>
        <w:t xml:space="preserve">Sydenstricker, K. V., Dhondt, A. A., Hawley, D. M., Jennelle, C. S., Kollias, H. W., &amp; Kollias, G. V. (2006). Characterization of Experimental Mycoplasma gallisepticum Infection in Captive House Finch Flocks. </w:t>
      </w:r>
      <w:r w:rsidRPr="002639DC">
        <w:rPr>
          <w:rFonts w:ascii="Calibri" w:cs="Calibri"/>
          <w:i/>
          <w:iCs/>
        </w:rPr>
        <w:t>Avian Diseases</w:t>
      </w:r>
      <w:r w:rsidRPr="002639DC">
        <w:rPr>
          <w:rFonts w:ascii="Calibri" w:cs="Calibri"/>
        </w:rPr>
        <w:t xml:space="preserve">, </w:t>
      </w:r>
      <w:r w:rsidRPr="002639DC">
        <w:rPr>
          <w:rFonts w:ascii="Calibri" w:cs="Calibri"/>
          <w:i/>
          <w:iCs/>
        </w:rPr>
        <w:t>50</w:t>
      </w:r>
      <w:r w:rsidRPr="002639DC">
        <w:rPr>
          <w:rFonts w:ascii="Calibri" w:cs="Calibri"/>
        </w:rPr>
        <w:t>(1), 39–44. https://doi.org/10.1637/7403-062805R.1</w:t>
      </w:r>
    </w:p>
    <w:p w14:paraId="7C423D45" w14:textId="77777777" w:rsidR="002639DC" w:rsidRPr="002639DC" w:rsidRDefault="002639DC" w:rsidP="002639DC">
      <w:pPr>
        <w:pStyle w:val="Bibliography"/>
        <w:rPr>
          <w:rFonts w:ascii="Calibri" w:cs="Calibri"/>
        </w:rPr>
      </w:pPr>
      <w:r w:rsidRPr="002639DC">
        <w:rPr>
          <w:rFonts w:ascii="Calibri" w:cs="Calibri"/>
        </w:rPr>
        <w:t xml:space="preserve">Thomason, C. A., Mullen, N., Belden, L. K., May, M., &amp; Hawley, D. M. (2017). Resident microbiome disruption with antibiotics enhances virulence of a colonizing pathogen. </w:t>
      </w:r>
      <w:r w:rsidRPr="002639DC">
        <w:rPr>
          <w:rFonts w:ascii="Calibri" w:cs="Calibri"/>
          <w:i/>
          <w:iCs/>
        </w:rPr>
        <w:t>Scientific Reports</w:t>
      </w:r>
      <w:r w:rsidRPr="002639DC">
        <w:rPr>
          <w:rFonts w:ascii="Calibri" w:cs="Calibri"/>
        </w:rPr>
        <w:t xml:space="preserve">, </w:t>
      </w:r>
      <w:r w:rsidRPr="002639DC">
        <w:rPr>
          <w:rFonts w:ascii="Calibri" w:cs="Calibri"/>
          <w:i/>
          <w:iCs/>
        </w:rPr>
        <w:t>7</w:t>
      </w:r>
      <w:r w:rsidRPr="002639DC">
        <w:rPr>
          <w:rFonts w:ascii="Calibri" w:cs="Calibri"/>
        </w:rPr>
        <w:t>(1), 16177.</w:t>
      </w:r>
    </w:p>
    <w:p w14:paraId="14356BAB" w14:textId="77777777" w:rsidR="002639DC" w:rsidRPr="002639DC" w:rsidRDefault="002639DC" w:rsidP="002639DC">
      <w:pPr>
        <w:pStyle w:val="Bibliography"/>
        <w:rPr>
          <w:rFonts w:ascii="Calibri" w:cs="Calibri"/>
        </w:rPr>
      </w:pPr>
      <w:r w:rsidRPr="002639DC">
        <w:rPr>
          <w:rFonts w:ascii="Calibri" w:cs="Calibri"/>
        </w:rPr>
        <w:lastRenderedPageBreak/>
        <w:t xml:space="preserve">Valdebenito, J. O., Halimubieke, N., Lendvai, Á. Z., Figuerola, J., Eichhorn, G., &amp; Székely, T. (2021). Seasonal variation in sex-specific immunity in wild birds. </w:t>
      </w:r>
      <w:r w:rsidRPr="002639DC">
        <w:rPr>
          <w:rFonts w:ascii="Calibri" w:cs="Calibri"/>
          <w:i/>
          <w:iCs/>
        </w:rPr>
        <w:t>Scientific Reports</w:t>
      </w:r>
      <w:r w:rsidRPr="002639DC">
        <w:rPr>
          <w:rFonts w:ascii="Calibri" w:cs="Calibri"/>
        </w:rPr>
        <w:t xml:space="preserve">, </w:t>
      </w:r>
      <w:r w:rsidRPr="002639DC">
        <w:rPr>
          <w:rFonts w:ascii="Calibri" w:cs="Calibri"/>
          <w:i/>
          <w:iCs/>
        </w:rPr>
        <w:t>11</w:t>
      </w:r>
      <w:r w:rsidRPr="002639DC">
        <w:rPr>
          <w:rFonts w:ascii="Calibri" w:cs="Calibri"/>
        </w:rPr>
        <w:t>(1), 1349. https://doi.org/10.1038/s41598-020-80030-9</w:t>
      </w:r>
    </w:p>
    <w:p w14:paraId="60702C4D" w14:textId="77777777" w:rsidR="002639DC" w:rsidRPr="002639DC" w:rsidRDefault="002639DC" w:rsidP="002639DC">
      <w:pPr>
        <w:pStyle w:val="Bibliography"/>
        <w:rPr>
          <w:rFonts w:ascii="Calibri" w:cs="Calibri"/>
        </w:rPr>
      </w:pPr>
      <w:r w:rsidRPr="002639DC">
        <w:rPr>
          <w:rFonts w:ascii="Calibri" w:cs="Calibri"/>
        </w:rPr>
        <w:t xml:space="preserve">Vinkler, M., Leon, A. E., Kirkpatrick, L., Dalloul, R. A., &amp; Hawley, D. M. (2018). Differing House Finch Cytokine Expression Responses to Original and Evolved Isolates of Mycoplasma gallisepticum. </w:t>
      </w:r>
      <w:r w:rsidRPr="002639DC">
        <w:rPr>
          <w:rFonts w:ascii="Calibri" w:cs="Calibri"/>
          <w:i/>
          <w:iCs/>
        </w:rPr>
        <w:t>Frontiers in Immunology</w:t>
      </w:r>
      <w:r w:rsidRPr="002639DC">
        <w:rPr>
          <w:rFonts w:ascii="Calibri" w:cs="Calibri"/>
        </w:rPr>
        <w:t xml:space="preserve">, </w:t>
      </w:r>
      <w:r w:rsidRPr="002639DC">
        <w:rPr>
          <w:rFonts w:ascii="Calibri" w:cs="Calibri"/>
          <w:i/>
          <w:iCs/>
        </w:rPr>
        <w:t>9</w:t>
      </w:r>
      <w:r w:rsidRPr="002639DC">
        <w:rPr>
          <w:rFonts w:ascii="Calibri" w:cs="Calibri"/>
        </w:rPr>
        <w:t>. https://doi.org/10.3389/fimmu.2018.00013</w:t>
      </w:r>
    </w:p>
    <w:p w14:paraId="4A60741E" w14:textId="77777777" w:rsidR="002639DC" w:rsidRPr="002639DC" w:rsidRDefault="002639DC" w:rsidP="002639DC">
      <w:pPr>
        <w:pStyle w:val="Bibliography"/>
        <w:rPr>
          <w:rFonts w:ascii="Calibri" w:cs="Calibri"/>
        </w:rPr>
      </w:pPr>
      <w:r w:rsidRPr="002639DC">
        <w:rPr>
          <w:rFonts w:ascii="Calibri" w:cs="Calibri"/>
        </w:rPr>
        <w:t xml:space="preserve">Weitzman, C. L., Rostama, B., Thomason, C. A., May, M., Belden, L. K., &amp; Hawley, D. M. (2021). Experimental test of microbiome protection across pathogen doses reveals importance of resident microbiome composition. </w:t>
      </w:r>
      <w:r w:rsidRPr="002639DC">
        <w:rPr>
          <w:rFonts w:ascii="Calibri" w:cs="Calibri"/>
          <w:i/>
          <w:iCs/>
        </w:rPr>
        <w:t>FEMS Microbiology Ecology</w:t>
      </w:r>
      <w:r w:rsidRPr="002639DC">
        <w:rPr>
          <w:rFonts w:ascii="Calibri" w:cs="Calibri"/>
        </w:rPr>
        <w:t xml:space="preserve">, </w:t>
      </w:r>
      <w:r w:rsidRPr="002639DC">
        <w:rPr>
          <w:rFonts w:ascii="Calibri" w:cs="Calibri"/>
          <w:i/>
          <w:iCs/>
        </w:rPr>
        <w:t>97</w:t>
      </w:r>
      <w:r w:rsidRPr="002639DC">
        <w:rPr>
          <w:rFonts w:ascii="Calibri" w:cs="Calibri"/>
        </w:rPr>
        <w:t>(11), fiab141.</w:t>
      </w:r>
    </w:p>
    <w:p w14:paraId="71537D2F" w14:textId="77777777" w:rsidR="002639DC" w:rsidRPr="002639DC" w:rsidRDefault="002639DC" w:rsidP="002639DC">
      <w:pPr>
        <w:pStyle w:val="Bibliography"/>
        <w:rPr>
          <w:rFonts w:ascii="Calibri" w:cs="Calibri"/>
        </w:rPr>
      </w:pPr>
      <w:r w:rsidRPr="002639DC">
        <w:rPr>
          <w:rFonts w:ascii="Calibri" w:cs="Calibri"/>
        </w:rPr>
        <w:t xml:space="preserve">Wood, S. N. (2011). Fast stable restricted maximum likelihood and marginal likelihood estimation of semiparametric generalized linear models. </w:t>
      </w:r>
      <w:r w:rsidRPr="002639DC">
        <w:rPr>
          <w:rFonts w:ascii="Calibri" w:cs="Calibri"/>
          <w:i/>
          <w:iCs/>
        </w:rPr>
        <w:t>Journal of the Royal Statistical Society (B)</w:t>
      </w:r>
      <w:r w:rsidRPr="002639DC">
        <w:rPr>
          <w:rFonts w:ascii="Calibri" w:cs="Calibri"/>
        </w:rPr>
        <w:t xml:space="preserve">, </w:t>
      </w:r>
      <w:r w:rsidRPr="002639DC">
        <w:rPr>
          <w:rFonts w:ascii="Calibri" w:cs="Calibri"/>
          <w:i/>
          <w:iCs/>
        </w:rPr>
        <w:t>73</w:t>
      </w:r>
      <w:r w:rsidRPr="002639DC">
        <w:rPr>
          <w:rFonts w:ascii="Calibri" w:cs="Calibri"/>
        </w:rPr>
        <w:t>(1), 3–36.</w:t>
      </w:r>
    </w:p>
    <w:p w14:paraId="2AF66F8F" w14:textId="77777777" w:rsidR="002639DC" w:rsidRPr="002639DC" w:rsidRDefault="002639DC" w:rsidP="002639DC">
      <w:pPr>
        <w:pStyle w:val="Bibliography"/>
        <w:rPr>
          <w:rFonts w:ascii="Calibri" w:cs="Calibri"/>
        </w:rPr>
      </w:pPr>
      <w:r w:rsidRPr="002639DC">
        <w:rPr>
          <w:rFonts w:ascii="Calibri" w:cs="Calibri"/>
        </w:rPr>
        <w:t xml:space="preserve">Zuk, M., &amp; McKean, K. A. (1996). Sex differences in parasite infections: Patterns and processes. </w:t>
      </w:r>
      <w:r w:rsidRPr="002639DC">
        <w:rPr>
          <w:rFonts w:ascii="Calibri" w:cs="Calibri"/>
          <w:i/>
          <w:iCs/>
        </w:rPr>
        <w:t>International Journal for Parasitology</w:t>
      </w:r>
      <w:r w:rsidRPr="002639DC">
        <w:rPr>
          <w:rFonts w:ascii="Calibri" w:cs="Calibri"/>
        </w:rPr>
        <w:t xml:space="preserve">, </w:t>
      </w:r>
      <w:r w:rsidRPr="002639DC">
        <w:rPr>
          <w:rFonts w:ascii="Calibri" w:cs="Calibri"/>
          <w:i/>
          <w:iCs/>
        </w:rPr>
        <w:t>26</w:t>
      </w:r>
      <w:r w:rsidRPr="002639DC">
        <w:rPr>
          <w:rFonts w:ascii="Calibri" w:cs="Calibri"/>
        </w:rPr>
        <w:t>(10), 1009–1024. https://doi.org/10.1016/S0020-7519(96)80001-4</w:t>
      </w:r>
    </w:p>
    <w:p w14:paraId="750A8500" w14:textId="0D536686" w:rsidR="00FE2A33" w:rsidRDefault="002639DC" w:rsidP="00FE2A33">
      <w:pPr>
        <w:rPr>
          <w:rFonts w:ascii="Times New Roman" w:hAnsi="Times New Roman" w:cs="Times New Roman"/>
          <w:b/>
        </w:rPr>
      </w:pPr>
      <w:r>
        <w:fldChar w:fldCharType="end"/>
      </w:r>
      <w:r w:rsidR="00FE2A33">
        <w:rPr>
          <w:rFonts w:ascii="Times New Roman" w:hAnsi="Times New Roman" w:cs="Times New Roman"/>
        </w:rPr>
        <w:t xml:space="preserve"> </w:t>
      </w:r>
      <w:r w:rsidR="00FE2A33" w:rsidRPr="000F33BC">
        <w:rPr>
          <w:rFonts w:ascii="Times New Roman" w:hAnsi="Times New Roman" w:cs="Times New Roman"/>
          <w:noProof/>
        </w:rPr>
        <w:fldChar w:fldCharType="begin"/>
      </w:r>
      <w:r w:rsidR="00FE2A33" w:rsidRPr="000F33BC">
        <w:rPr>
          <w:rFonts w:ascii="Times New Roman" w:hAnsi="Times New Roman" w:cs="Times New Roman"/>
        </w:rPr>
        <w:instrText xml:space="preserve"> ADDIN EN.REFLIST </w:instrText>
      </w:r>
      <w:r w:rsidR="00FE2A33" w:rsidRPr="000F33BC">
        <w:rPr>
          <w:rFonts w:ascii="Times New Roman" w:hAnsi="Times New Roman" w:cs="Times New Roman"/>
          <w:noProof/>
        </w:rPr>
        <w:fldChar w:fldCharType="end"/>
      </w:r>
      <w:r w:rsidR="00FE2A33">
        <w:rPr>
          <w:rFonts w:ascii="Times New Roman" w:hAnsi="Times New Roman" w:cs="Times New Roman"/>
          <w:b/>
        </w:rPr>
        <w:br w:type="page"/>
      </w:r>
    </w:p>
    <w:p w14:paraId="2F9D3BA0" w14:textId="77777777" w:rsidR="00FE2A33" w:rsidRDefault="00FE2A33" w:rsidP="00FE2A33">
      <w:pPr>
        <w:rPr>
          <w:rFonts w:ascii="Times New Roman" w:hAnsi="Times New Roman" w:cs="Times New Roman"/>
          <w:b/>
        </w:rPr>
      </w:pPr>
      <w:r>
        <w:rPr>
          <w:rFonts w:ascii="Times New Roman" w:hAnsi="Times New Roman" w:cs="Times New Roman"/>
          <w:b/>
        </w:rPr>
        <w:lastRenderedPageBreak/>
        <w:t>Figures</w:t>
      </w:r>
    </w:p>
    <w:p w14:paraId="3E052EE2" w14:textId="77777777" w:rsidR="00FE2A33" w:rsidRDefault="00FE2A33" w:rsidP="00FE2A33">
      <w:pPr>
        <w:rPr>
          <w:rFonts w:ascii="Times New Roman" w:hAnsi="Times New Roman" w:cs="Times New Roman"/>
          <w:bCs/>
        </w:rPr>
      </w:pPr>
      <w:r>
        <w:rPr>
          <w:rFonts w:ascii="Times New Roman" w:hAnsi="Times New Roman" w:cs="Times New Roman"/>
          <w:bCs/>
        </w:rPr>
        <w:t xml:space="preserve">Figure 1 | Scheme for the Susceptible, Exposed, Infected, </w:t>
      </w:r>
      <w:proofErr w:type="gramStart"/>
      <w:r>
        <w:rPr>
          <w:rFonts w:ascii="Times New Roman" w:hAnsi="Times New Roman" w:cs="Times New Roman"/>
          <w:bCs/>
        </w:rPr>
        <w:t>Removed</w:t>
      </w:r>
      <w:proofErr w:type="gramEnd"/>
      <w:r>
        <w:rPr>
          <w:rFonts w:ascii="Times New Roman" w:hAnsi="Times New Roman" w:cs="Times New Roman"/>
          <w:bCs/>
        </w:rPr>
        <w:t xml:space="preserve"> (recovered or mortality) transmission model for adult male (M) and female (F) </w:t>
      </w:r>
      <w:r w:rsidRPr="00D66BD9">
        <w:rPr>
          <w:rFonts w:ascii="Times New Roman" w:hAnsi="Times New Roman" w:cs="Times New Roman"/>
          <w:bCs/>
          <w:i/>
          <w:iCs/>
        </w:rPr>
        <w:t xml:space="preserve">Mycoplasma </w:t>
      </w:r>
      <w:proofErr w:type="spellStart"/>
      <w:r w:rsidRPr="00D66BD9">
        <w:rPr>
          <w:rFonts w:ascii="Times New Roman" w:hAnsi="Times New Roman" w:cs="Times New Roman"/>
          <w:bCs/>
          <w:i/>
          <w:iCs/>
        </w:rPr>
        <w:t>gallisepticum</w:t>
      </w:r>
      <w:proofErr w:type="spellEnd"/>
      <w:r>
        <w:rPr>
          <w:rFonts w:ascii="Times New Roman" w:hAnsi="Times New Roman" w:cs="Times New Roman"/>
          <w:bCs/>
        </w:rPr>
        <w:t xml:space="preserve"> house finches (</w:t>
      </w:r>
      <w:proofErr w:type="spellStart"/>
      <w:r w:rsidRPr="00D66BD9">
        <w:rPr>
          <w:rFonts w:ascii="Times New Roman" w:hAnsi="Times New Roman" w:cs="Times New Roman"/>
          <w:bCs/>
          <w:i/>
          <w:iCs/>
        </w:rPr>
        <w:t>Haemorhous</w:t>
      </w:r>
      <w:proofErr w:type="spellEnd"/>
      <w:r w:rsidRPr="00D66BD9">
        <w:rPr>
          <w:rFonts w:ascii="Times New Roman" w:hAnsi="Times New Roman" w:cs="Times New Roman"/>
          <w:bCs/>
          <w:i/>
          <w:iCs/>
        </w:rPr>
        <w:t xml:space="preserve"> mexicanus</w:t>
      </w:r>
      <w:r>
        <w:rPr>
          <w:rFonts w:ascii="Times New Roman" w:hAnsi="Times New Roman" w:cs="Times New Roman"/>
          <w:bCs/>
        </w:rPr>
        <w:t xml:space="preserve">).  </w:t>
      </w:r>
    </w:p>
    <w:p w14:paraId="67E4720F" w14:textId="77777777" w:rsidR="00FE2A33" w:rsidRDefault="00FE2A33" w:rsidP="00FE2A33">
      <w:pPr>
        <w:rPr>
          <w:rFonts w:ascii="Times New Roman" w:hAnsi="Times New Roman" w:cs="Times New Roman"/>
          <w:bCs/>
        </w:rPr>
      </w:pPr>
      <w:r>
        <w:rPr>
          <w:noProof/>
        </w:rPr>
        <w:drawing>
          <wp:inline distT="0" distB="0" distL="0" distR="0" wp14:anchorId="06DA7601" wp14:editId="05EDC2C8">
            <wp:extent cx="5943600" cy="3790315"/>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90315"/>
                    </a:xfrm>
                    <a:prstGeom prst="rect">
                      <a:avLst/>
                    </a:prstGeom>
                    <a:noFill/>
                    <a:ln>
                      <a:noFill/>
                    </a:ln>
                  </pic:spPr>
                </pic:pic>
              </a:graphicData>
            </a:graphic>
          </wp:inline>
        </w:drawing>
      </w:r>
    </w:p>
    <w:p w14:paraId="41F8A11C" w14:textId="77777777" w:rsidR="00FE2A33" w:rsidRDefault="00FE2A33" w:rsidP="00FE2A33">
      <w:pPr>
        <w:rPr>
          <w:rFonts w:ascii="Times New Roman" w:hAnsi="Times New Roman" w:cs="Times New Roman"/>
          <w:bCs/>
        </w:rPr>
      </w:pPr>
      <w:r>
        <w:rPr>
          <w:rFonts w:ascii="Times New Roman" w:hAnsi="Times New Roman" w:cs="Times New Roman"/>
          <w:bCs/>
        </w:rPr>
        <w:br w:type="page"/>
      </w:r>
    </w:p>
    <w:p w14:paraId="7A498C14" w14:textId="77777777" w:rsidR="00FE2A33" w:rsidRPr="00756B97" w:rsidRDefault="00FE2A33" w:rsidP="00FE2A33">
      <w:pPr>
        <w:spacing w:line="480" w:lineRule="auto"/>
        <w:rPr>
          <w:rFonts w:ascii="Times New Roman" w:hAnsi="Times New Roman" w:cs="Times New Roman"/>
          <w:bCs/>
        </w:rPr>
      </w:pPr>
      <w:r w:rsidRPr="00756B97">
        <w:rPr>
          <w:rFonts w:ascii="Times New Roman" w:hAnsi="Times New Roman" w:cs="Times New Roman"/>
          <w:bCs/>
        </w:rPr>
        <w:lastRenderedPageBreak/>
        <w:t xml:space="preserve">Figure </w:t>
      </w:r>
      <w:r>
        <w:rPr>
          <w:rFonts w:ascii="Times New Roman" w:hAnsi="Times New Roman" w:cs="Times New Roman"/>
          <w:bCs/>
        </w:rPr>
        <w:t>2</w:t>
      </w:r>
      <w:r w:rsidRPr="00756B97">
        <w:rPr>
          <w:rFonts w:ascii="Times New Roman" w:hAnsi="Times New Roman" w:cs="Times New Roman"/>
          <w:bCs/>
        </w:rPr>
        <w:t xml:space="preserve"> |</w:t>
      </w:r>
      <w:r>
        <w:rPr>
          <w:rFonts w:ascii="Times New Roman" w:hAnsi="Times New Roman" w:cs="Times New Roman"/>
          <w:bCs/>
        </w:rPr>
        <w:t xml:space="preserve"> </w:t>
      </w:r>
      <w:bookmarkStart w:id="5" w:name="_Hlk112317138"/>
      <w:r>
        <w:rPr>
          <w:rFonts w:ascii="Times New Roman" w:hAnsi="Times New Roman" w:cs="Times New Roman"/>
          <w:bCs/>
        </w:rPr>
        <w:t>Differential effect of canary sex (</w:t>
      </w:r>
      <w:proofErr w:type="spellStart"/>
      <w:r w:rsidRPr="000D3080">
        <w:rPr>
          <w:rFonts w:ascii="Times New Roman" w:hAnsi="Times New Roman" w:cs="Times New Roman"/>
          <w:bCs/>
          <w:i/>
          <w:iCs/>
        </w:rPr>
        <w:t>Serinus</w:t>
      </w:r>
      <w:proofErr w:type="spellEnd"/>
      <w:r w:rsidRPr="000D3080">
        <w:rPr>
          <w:rFonts w:ascii="Times New Roman" w:hAnsi="Times New Roman" w:cs="Times New Roman"/>
          <w:bCs/>
          <w:i/>
          <w:iCs/>
        </w:rPr>
        <w:t xml:space="preserve"> </w:t>
      </w:r>
      <w:proofErr w:type="spellStart"/>
      <w:r w:rsidRPr="000D3080">
        <w:rPr>
          <w:rFonts w:ascii="Times New Roman" w:hAnsi="Times New Roman" w:cs="Times New Roman"/>
          <w:bCs/>
          <w:i/>
          <w:iCs/>
        </w:rPr>
        <w:t>canaria</w:t>
      </w:r>
      <w:proofErr w:type="spellEnd"/>
      <w:r w:rsidRPr="000D3080">
        <w:rPr>
          <w:rFonts w:ascii="Times New Roman" w:hAnsi="Times New Roman" w:cs="Times New Roman"/>
          <w:bCs/>
          <w:i/>
          <w:iCs/>
        </w:rPr>
        <w:t xml:space="preserve"> domestica</w:t>
      </w:r>
      <w:r>
        <w:rPr>
          <w:rFonts w:ascii="Times New Roman" w:hAnsi="Times New Roman" w:cs="Times New Roman"/>
          <w:bCs/>
        </w:rPr>
        <w:t xml:space="preserve">) on </w:t>
      </w:r>
      <w:bookmarkEnd w:id="5"/>
      <w:r w:rsidRPr="00E56CAD">
        <w:rPr>
          <w:rFonts w:ascii="Times New Roman" w:hAnsi="Times New Roman" w:cs="Times New Roman"/>
          <w:b/>
        </w:rPr>
        <w:t>A</w:t>
      </w:r>
      <w:r>
        <w:rPr>
          <w:rFonts w:ascii="Times New Roman" w:hAnsi="Times New Roman" w:cs="Times New Roman"/>
          <w:bCs/>
        </w:rPr>
        <w:t xml:space="preserve">) total eye score </w:t>
      </w:r>
      <w:r>
        <w:rPr>
          <w:rFonts w:ascii="Times New Roman" w:hAnsi="Times New Roman" w:cs="Times New Roman"/>
        </w:rPr>
        <w:t>(</w:t>
      </w:r>
      <w:r w:rsidRPr="00265476">
        <w:rPr>
          <w:rFonts w:ascii="Times New Roman" w:hAnsi="Times New Roman" w:cs="Times New Roman"/>
          <w:i/>
          <w:iCs/>
        </w:rPr>
        <w:t>β</w:t>
      </w:r>
      <w:r>
        <w:rPr>
          <w:rFonts w:ascii="Times New Roman" w:hAnsi="Times New Roman" w:cs="Times New Roman"/>
        </w:rPr>
        <w:t xml:space="preserve">=1.85, </w:t>
      </w:r>
      <w:r w:rsidRPr="00265476">
        <w:rPr>
          <w:rFonts w:ascii="Times New Roman" w:hAnsi="Times New Roman" w:cs="Times New Roman"/>
          <w:i/>
          <w:iCs/>
        </w:rPr>
        <w:t>t</w:t>
      </w:r>
      <w:r>
        <w:rPr>
          <w:rFonts w:ascii="Times New Roman" w:hAnsi="Times New Roman" w:cs="Times New Roman"/>
        </w:rPr>
        <w:t xml:space="preserve">=8.49, </w:t>
      </w:r>
      <w:r w:rsidRPr="00265476">
        <w:rPr>
          <w:rFonts w:ascii="Times New Roman" w:hAnsi="Times New Roman" w:cs="Times New Roman"/>
          <w:i/>
          <w:iCs/>
        </w:rPr>
        <w:t>p</w:t>
      </w:r>
      <w:r>
        <w:rPr>
          <w:rFonts w:ascii="Times New Roman" w:hAnsi="Times New Roman" w:cs="Times New Roman"/>
        </w:rPr>
        <w:t>&lt;0.001)</w:t>
      </w:r>
      <w:r>
        <w:rPr>
          <w:rFonts w:ascii="Times New Roman" w:hAnsi="Times New Roman" w:cs="Times New Roman"/>
          <w:bCs/>
        </w:rPr>
        <w:t xml:space="preserve">, </w:t>
      </w:r>
      <w:r w:rsidRPr="00E56CAD">
        <w:rPr>
          <w:rFonts w:ascii="Times New Roman" w:hAnsi="Times New Roman" w:cs="Times New Roman"/>
          <w:b/>
        </w:rPr>
        <w:t>B</w:t>
      </w:r>
      <w:r>
        <w:rPr>
          <w:rFonts w:ascii="Times New Roman" w:hAnsi="Times New Roman" w:cs="Times New Roman"/>
          <w:bCs/>
        </w:rPr>
        <w:t xml:space="preserve">) log-transformed pathogen load </w:t>
      </w:r>
      <w:r>
        <w:rPr>
          <w:rFonts w:ascii="Times New Roman" w:hAnsi="Times New Roman" w:cs="Times New Roman"/>
        </w:rPr>
        <w:t>(χ</w:t>
      </w:r>
      <w:r w:rsidRPr="003C4B97">
        <w:rPr>
          <w:rFonts w:ascii="Times New Roman" w:hAnsi="Times New Roman" w:cs="Times New Roman"/>
          <w:vertAlign w:val="superscript"/>
        </w:rPr>
        <w:t>2</w:t>
      </w:r>
      <w:r>
        <w:rPr>
          <w:rFonts w:ascii="Times New Roman" w:hAnsi="Times New Roman" w:cs="Times New Roman"/>
        </w:rPr>
        <w:t xml:space="preserve">=3.68, </w:t>
      </w:r>
      <w:proofErr w:type="spellStart"/>
      <w:r w:rsidRPr="00C84925">
        <w:rPr>
          <w:rFonts w:ascii="Times New Roman" w:hAnsi="Times New Roman" w:cs="Times New Roman"/>
          <w:i/>
          <w:iCs/>
        </w:rPr>
        <w:t>df</w:t>
      </w:r>
      <w:proofErr w:type="spellEnd"/>
      <w:r>
        <w:rPr>
          <w:rFonts w:ascii="Times New Roman" w:hAnsi="Times New Roman" w:cs="Times New Roman"/>
        </w:rPr>
        <w:t xml:space="preserve">=1, </w:t>
      </w:r>
      <w:r w:rsidRPr="00C84925">
        <w:rPr>
          <w:rFonts w:ascii="Times New Roman" w:hAnsi="Times New Roman" w:cs="Times New Roman"/>
          <w:i/>
          <w:iCs/>
        </w:rPr>
        <w:t>p</w:t>
      </w:r>
      <w:r>
        <w:rPr>
          <w:rFonts w:ascii="Times New Roman" w:hAnsi="Times New Roman" w:cs="Times New Roman"/>
        </w:rPr>
        <w:t>=0.06)</w:t>
      </w:r>
      <w:r>
        <w:rPr>
          <w:rFonts w:ascii="Times New Roman" w:hAnsi="Times New Roman" w:cs="Times New Roman"/>
          <w:bCs/>
        </w:rPr>
        <w:t xml:space="preserve">, and </w:t>
      </w:r>
      <w:r w:rsidRPr="00E56CAD">
        <w:rPr>
          <w:rFonts w:ascii="Times New Roman" w:hAnsi="Times New Roman" w:cs="Times New Roman"/>
          <w:b/>
        </w:rPr>
        <w:t>C</w:t>
      </w:r>
      <w:r>
        <w:rPr>
          <w:rFonts w:ascii="Times New Roman" w:hAnsi="Times New Roman" w:cs="Times New Roman"/>
          <w:bCs/>
        </w:rPr>
        <w:t xml:space="preserve">) MG-specific antibody levels </w:t>
      </w:r>
      <w:r>
        <w:rPr>
          <w:rFonts w:ascii="Times New Roman" w:hAnsi="Times New Roman" w:cs="Times New Roman"/>
        </w:rPr>
        <w:t>(χ</w:t>
      </w:r>
      <w:r w:rsidRPr="003C4B97">
        <w:rPr>
          <w:rFonts w:ascii="Times New Roman" w:hAnsi="Times New Roman" w:cs="Times New Roman"/>
          <w:vertAlign w:val="superscript"/>
        </w:rPr>
        <w:t>2</w:t>
      </w:r>
      <w:r>
        <w:rPr>
          <w:rFonts w:ascii="Times New Roman" w:hAnsi="Times New Roman" w:cs="Times New Roman"/>
        </w:rPr>
        <w:t xml:space="preserve">=6.44, </w:t>
      </w:r>
      <w:proofErr w:type="spellStart"/>
      <w:r w:rsidRPr="00C84925">
        <w:rPr>
          <w:rFonts w:ascii="Times New Roman" w:hAnsi="Times New Roman" w:cs="Times New Roman"/>
          <w:i/>
          <w:iCs/>
        </w:rPr>
        <w:t>df</w:t>
      </w:r>
      <w:proofErr w:type="spellEnd"/>
      <w:r>
        <w:rPr>
          <w:rFonts w:ascii="Times New Roman" w:hAnsi="Times New Roman" w:cs="Times New Roman"/>
        </w:rPr>
        <w:t xml:space="preserve">=1, </w:t>
      </w:r>
      <w:r w:rsidRPr="00C84925">
        <w:rPr>
          <w:rFonts w:ascii="Times New Roman" w:hAnsi="Times New Roman" w:cs="Times New Roman"/>
          <w:i/>
          <w:iCs/>
        </w:rPr>
        <w:t>p</w:t>
      </w:r>
      <w:r>
        <w:rPr>
          <w:rFonts w:ascii="Times New Roman" w:hAnsi="Times New Roman" w:cs="Times New Roman"/>
        </w:rPr>
        <w:t>=0.01)</w:t>
      </w:r>
      <w:r>
        <w:rPr>
          <w:rFonts w:ascii="Times New Roman" w:hAnsi="Times New Roman" w:cs="Times New Roman"/>
          <w:bCs/>
        </w:rPr>
        <w:t xml:space="preserve"> after exposure to </w:t>
      </w:r>
      <w:r w:rsidRPr="000D3080">
        <w:rPr>
          <w:rFonts w:ascii="Times New Roman" w:hAnsi="Times New Roman" w:cs="Times New Roman"/>
          <w:bCs/>
          <w:i/>
          <w:iCs/>
        </w:rPr>
        <w:t xml:space="preserve">Mycoplasma </w:t>
      </w:r>
      <w:proofErr w:type="spellStart"/>
      <w:r w:rsidRPr="000D3080">
        <w:rPr>
          <w:rFonts w:ascii="Times New Roman" w:hAnsi="Times New Roman" w:cs="Times New Roman"/>
          <w:bCs/>
          <w:i/>
          <w:iCs/>
        </w:rPr>
        <w:t>gallisepticum</w:t>
      </w:r>
      <w:proofErr w:type="spellEnd"/>
      <w:r>
        <w:rPr>
          <w:rFonts w:ascii="Times New Roman" w:hAnsi="Times New Roman" w:cs="Times New Roman"/>
          <w:bCs/>
        </w:rPr>
        <w:t xml:space="preserve"> (MG). </w:t>
      </w:r>
      <w:r w:rsidRPr="00481CC0">
        <w:rPr>
          <w:rFonts w:ascii="Times New Roman" w:hAnsi="Times New Roman" w:cs="Times New Roman"/>
          <w:bCs/>
        </w:rPr>
        <w:t xml:space="preserve">Points </w:t>
      </w:r>
      <w:r>
        <w:rPr>
          <w:rFonts w:ascii="Times New Roman" w:hAnsi="Times New Roman" w:cs="Times New Roman"/>
          <w:bCs/>
        </w:rPr>
        <w:t>in (</w:t>
      </w:r>
      <w:r w:rsidRPr="00E56CAD">
        <w:rPr>
          <w:rFonts w:ascii="Times New Roman" w:hAnsi="Times New Roman" w:cs="Times New Roman"/>
          <w:b/>
        </w:rPr>
        <w:t>A</w:t>
      </w:r>
      <w:r>
        <w:rPr>
          <w:rFonts w:ascii="Times New Roman" w:hAnsi="Times New Roman" w:cs="Times New Roman"/>
          <w:bCs/>
        </w:rPr>
        <w:t>) are raw data. Points</w:t>
      </w:r>
      <w:r w:rsidRPr="006268CC">
        <w:rPr>
          <w:rFonts w:ascii="Times New Roman" w:hAnsi="Times New Roman" w:cs="Times New Roman"/>
          <w:bCs/>
        </w:rPr>
        <w:t xml:space="preserve"> </w:t>
      </w:r>
      <w:r>
        <w:rPr>
          <w:rFonts w:ascii="Times New Roman" w:hAnsi="Times New Roman" w:cs="Times New Roman"/>
          <w:bCs/>
        </w:rPr>
        <w:t>in (</w:t>
      </w:r>
      <w:r w:rsidRPr="00E56CAD">
        <w:rPr>
          <w:rFonts w:ascii="Times New Roman" w:hAnsi="Times New Roman" w:cs="Times New Roman"/>
          <w:b/>
        </w:rPr>
        <w:t>B</w:t>
      </w:r>
      <w:r>
        <w:rPr>
          <w:rFonts w:ascii="Times New Roman" w:hAnsi="Times New Roman" w:cs="Times New Roman"/>
          <w:bCs/>
        </w:rPr>
        <w:t>) &amp; (</w:t>
      </w:r>
      <w:r w:rsidRPr="00E56CAD">
        <w:rPr>
          <w:rFonts w:ascii="Times New Roman" w:hAnsi="Times New Roman" w:cs="Times New Roman"/>
          <w:b/>
        </w:rPr>
        <w:t>C</w:t>
      </w:r>
      <w:r>
        <w:rPr>
          <w:rFonts w:ascii="Times New Roman" w:hAnsi="Times New Roman" w:cs="Times New Roman"/>
          <w:bCs/>
        </w:rPr>
        <w:t xml:space="preserve">) </w:t>
      </w:r>
      <w:r w:rsidRPr="00481CC0">
        <w:rPr>
          <w:rFonts w:ascii="Times New Roman" w:hAnsi="Times New Roman" w:cs="Times New Roman"/>
          <w:bCs/>
        </w:rPr>
        <w:t>are predicted model values</w:t>
      </w:r>
      <w:r>
        <w:rPr>
          <w:rFonts w:ascii="Times New Roman" w:hAnsi="Times New Roman" w:cs="Times New Roman"/>
          <w:bCs/>
        </w:rPr>
        <w:t xml:space="preserve"> from linear mixed effects models that examined the main effects and interactions of sex, MG-exposure status, and time since infection on pathogen load and antibody level, respectively. G</w:t>
      </w:r>
      <w:r w:rsidRPr="00481CC0">
        <w:rPr>
          <w:rFonts w:ascii="Times New Roman" w:hAnsi="Times New Roman" w:cs="Times New Roman"/>
          <w:bCs/>
        </w:rPr>
        <w:t xml:space="preserve">ray shading </w:t>
      </w:r>
      <w:r>
        <w:rPr>
          <w:rFonts w:ascii="Times New Roman" w:hAnsi="Times New Roman" w:cs="Times New Roman"/>
          <w:bCs/>
        </w:rPr>
        <w:t>represents</w:t>
      </w:r>
      <w:r w:rsidRPr="00481CC0">
        <w:rPr>
          <w:rFonts w:ascii="Times New Roman" w:hAnsi="Times New Roman" w:cs="Times New Roman"/>
          <w:bCs/>
        </w:rPr>
        <w:t xml:space="preserve"> associated 95% confidence bands. </w:t>
      </w:r>
    </w:p>
    <w:p w14:paraId="728FE475" w14:textId="77777777" w:rsidR="00FE2A33" w:rsidRDefault="00FE2A33" w:rsidP="00FE2A33">
      <w:pPr>
        <w:rPr>
          <w:rFonts w:ascii="Times New Roman" w:hAnsi="Times New Roman" w:cs="Times New Roman"/>
          <w:b/>
        </w:rPr>
      </w:pPr>
      <w:r w:rsidRPr="00EC75B5">
        <w:t xml:space="preserve"> </w:t>
      </w:r>
      <w:r>
        <w:rPr>
          <w:rFonts w:ascii="Times New Roman" w:hAnsi="Times New Roman" w:cs="Times New Roman"/>
          <w:b/>
          <w:noProof/>
        </w:rPr>
        <w:drawing>
          <wp:inline distT="0" distB="0" distL="0" distR="0" wp14:anchorId="0D5631E6" wp14:editId="3EC503B8">
            <wp:extent cx="6636691" cy="2488759"/>
            <wp:effectExtent l="0" t="0" r="5715"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4"/>
                    <a:stretch>
                      <a:fillRect/>
                    </a:stretch>
                  </pic:blipFill>
                  <pic:spPr>
                    <a:xfrm>
                      <a:off x="0" y="0"/>
                      <a:ext cx="6644932" cy="2491849"/>
                    </a:xfrm>
                    <a:prstGeom prst="rect">
                      <a:avLst/>
                    </a:prstGeom>
                  </pic:spPr>
                </pic:pic>
              </a:graphicData>
            </a:graphic>
          </wp:inline>
        </w:drawing>
      </w:r>
    </w:p>
    <w:p w14:paraId="153C4CD3" w14:textId="77777777" w:rsidR="00FE2A33" w:rsidRDefault="00FE2A33" w:rsidP="00FE2A33">
      <w:pPr>
        <w:rPr>
          <w:rFonts w:ascii="Times New Roman" w:hAnsi="Times New Roman" w:cs="Times New Roman"/>
          <w:b/>
        </w:rPr>
      </w:pPr>
      <w:r>
        <w:rPr>
          <w:rFonts w:ascii="Times New Roman" w:hAnsi="Times New Roman" w:cs="Times New Roman"/>
          <w:b/>
        </w:rPr>
        <w:br w:type="page"/>
      </w:r>
    </w:p>
    <w:p w14:paraId="455BF8EB" w14:textId="77777777" w:rsidR="00FE2A33" w:rsidRDefault="00FE2A33" w:rsidP="00FE2A33">
      <w:pPr>
        <w:rPr>
          <w:rFonts w:ascii="Times New Roman" w:hAnsi="Times New Roman" w:cs="Times New Roman"/>
          <w:bCs/>
        </w:rPr>
      </w:pPr>
      <w:r w:rsidRPr="00F63237">
        <w:rPr>
          <w:rFonts w:ascii="Times New Roman" w:hAnsi="Times New Roman" w:cs="Times New Roman"/>
          <w:bCs/>
        </w:rPr>
        <w:lastRenderedPageBreak/>
        <w:t xml:space="preserve">Figure </w:t>
      </w:r>
      <w:r>
        <w:rPr>
          <w:rFonts w:ascii="Times New Roman" w:hAnsi="Times New Roman" w:cs="Times New Roman"/>
          <w:bCs/>
        </w:rPr>
        <w:t>3</w:t>
      </w:r>
      <w:r w:rsidRPr="00F63237">
        <w:rPr>
          <w:rFonts w:ascii="Times New Roman" w:hAnsi="Times New Roman" w:cs="Times New Roman"/>
          <w:bCs/>
        </w:rPr>
        <w:t xml:space="preserve"> |</w:t>
      </w:r>
      <w:r>
        <w:rPr>
          <w:rFonts w:ascii="Times New Roman" w:hAnsi="Times New Roman" w:cs="Times New Roman"/>
          <w:bCs/>
        </w:rPr>
        <w:t xml:space="preserve"> Results of the</w:t>
      </w:r>
      <w:r w:rsidRPr="009760A3">
        <w:rPr>
          <w:rFonts w:ascii="Times New Roman" w:hAnsi="Times New Roman" w:cs="Times New Roman"/>
          <w:bCs/>
        </w:rPr>
        <w:t xml:space="preserve"> </w:t>
      </w:r>
      <w:r>
        <w:rPr>
          <w:rFonts w:ascii="Times New Roman" w:hAnsi="Times New Roman" w:cs="Times New Roman"/>
          <w:bCs/>
        </w:rPr>
        <w:t>Susceptible, Exposed, Infected, Recovered, Mortality transmission model</w:t>
      </w:r>
      <w:r>
        <w:rPr>
          <w:rFonts w:ascii="Times New Roman" w:hAnsi="Times New Roman" w:cs="Times New Roman"/>
        </w:rPr>
        <w:t xml:space="preserve"> when the initial proportion of susceptible individuals that were male was </w:t>
      </w:r>
      <w:r w:rsidRPr="00E56CAD">
        <w:rPr>
          <w:rFonts w:ascii="Times New Roman" w:hAnsi="Times New Roman" w:cs="Times New Roman"/>
          <w:b/>
          <w:bCs/>
        </w:rPr>
        <w:t>A</w:t>
      </w:r>
      <w:r>
        <w:rPr>
          <w:rFonts w:ascii="Times New Roman" w:hAnsi="Times New Roman" w:cs="Times New Roman"/>
        </w:rPr>
        <w:t xml:space="preserve">) 100%, </w:t>
      </w:r>
      <w:r w:rsidRPr="00E56CAD">
        <w:rPr>
          <w:rFonts w:ascii="Times New Roman" w:hAnsi="Times New Roman" w:cs="Times New Roman"/>
          <w:b/>
          <w:bCs/>
        </w:rPr>
        <w:t>B</w:t>
      </w:r>
      <w:r>
        <w:rPr>
          <w:rFonts w:ascii="Times New Roman" w:hAnsi="Times New Roman" w:cs="Times New Roman"/>
        </w:rPr>
        <w:t xml:space="preserve">) 75%, </w:t>
      </w:r>
      <w:r w:rsidRPr="00E56CAD">
        <w:rPr>
          <w:rFonts w:ascii="Times New Roman" w:hAnsi="Times New Roman" w:cs="Times New Roman"/>
          <w:b/>
          <w:bCs/>
        </w:rPr>
        <w:t>C</w:t>
      </w:r>
      <w:r>
        <w:rPr>
          <w:rFonts w:ascii="Times New Roman" w:hAnsi="Times New Roman" w:cs="Times New Roman"/>
        </w:rPr>
        <w:t xml:space="preserve">) 50%, </w:t>
      </w:r>
      <w:r w:rsidRPr="00E56CAD">
        <w:rPr>
          <w:rFonts w:ascii="Times New Roman" w:hAnsi="Times New Roman" w:cs="Times New Roman"/>
          <w:b/>
          <w:bCs/>
        </w:rPr>
        <w:t>D</w:t>
      </w:r>
      <w:r>
        <w:rPr>
          <w:rFonts w:ascii="Times New Roman" w:hAnsi="Times New Roman" w:cs="Times New Roman"/>
        </w:rPr>
        <w:t xml:space="preserve">) 25%, and </w:t>
      </w:r>
      <w:r w:rsidRPr="00E56CAD">
        <w:rPr>
          <w:rFonts w:ascii="Times New Roman" w:hAnsi="Times New Roman" w:cs="Times New Roman"/>
          <w:b/>
          <w:bCs/>
        </w:rPr>
        <w:t>E</w:t>
      </w:r>
      <w:r>
        <w:rPr>
          <w:rFonts w:ascii="Times New Roman" w:hAnsi="Times New Roman" w:cs="Times New Roman"/>
        </w:rPr>
        <w:t>) 0% (</w:t>
      </w:r>
      <w:proofErr w:type="gramStart"/>
      <w:r>
        <w:rPr>
          <w:rFonts w:ascii="Times New Roman" w:hAnsi="Times New Roman" w:cs="Times New Roman"/>
        </w:rPr>
        <w:t>i.e.</w:t>
      </w:r>
      <w:proofErr w:type="gramEnd"/>
      <w:r>
        <w:rPr>
          <w:rFonts w:ascii="Times New Roman" w:hAnsi="Times New Roman" w:cs="Times New Roman"/>
        </w:rPr>
        <w:t xml:space="preserve"> 100% female). Starting conditions were </w:t>
      </w:r>
      <w:r w:rsidRPr="007130FA">
        <w:rPr>
          <w:rFonts w:ascii="Times New Roman" w:hAnsi="Times New Roman" w:cs="Times New Roman"/>
          <w:i/>
          <w:iCs/>
        </w:rPr>
        <w:t>S</w:t>
      </w:r>
      <w:r>
        <w:rPr>
          <w:rFonts w:ascii="Times New Roman" w:hAnsi="Times New Roman" w:cs="Times New Roman"/>
        </w:rPr>
        <w:t xml:space="preserve">=99, </w:t>
      </w:r>
      <w:r w:rsidRPr="007130FA">
        <w:rPr>
          <w:rFonts w:ascii="Times New Roman" w:hAnsi="Times New Roman" w:cs="Times New Roman"/>
          <w:i/>
          <w:iCs/>
        </w:rPr>
        <w:t>E</w:t>
      </w:r>
      <w:r>
        <w:rPr>
          <w:rFonts w:ascii="Times New Roman" w:hAnsi="Times New Roman" w:cs="Times New Roman"/>
        </w:rPr>
        <w:t xml:space="preserve">=0, </w:t>
      </w:r>
      <w:r w:rsidRPr="007130FA">
        <w:rPr>
          <w:rFonts w:ascii="Times New Roman" w:hAnsi="Times New Roman" w:cs="Times New Roman"/>
          <w:i/>
          <w:iCs/>
        </w:rPr>
        <w:t>I</w:t>
      </w:r>
      <w:r>
        <w:rPr>
          <w:rFonts w:ascii="Times New Roman" w:hAnsi="Times New Roman" w:cs="Times New Roman"/>
        </w:rPr>
        <w:t xml:space="preserve">=1, </w:t>
      </w:r>
      <w:r w:rsidRPr="007130FA">
        <w:rPr>
          <w:rFonts w:ascii="Times New Roman" w:hAnsi="Times New Roman" w:cs="Times New Roman"/>
          <w:i/>
          <w:iCs/>
        </w:rPr>
        <w:t>R</w:t>
      </w:r>
      <w:r>
        <w:rPr>
          <w:rFonts w:ascii="Times New Roman" w:hAnsi="Times New Roman" w:cs="Times New Roman"/>
        </w:rPr>
        <w:t xml:space="preserve">=0, </w:t>
      </w:r>
      <w:r w:rsidRPr="007130FA">
        <w:rPr>
          <w:rFonts w:ascii="Times New Roman" w:hAnsi="Times New Roman" w:cs="Times New Roman"/>
          <w:i/>
          <w:iCs/>
        </w:rPr>
        <w:t>M</w:t>
      </w:r>
      <w:r>
        <w:rPr>
          <w:rFonts w:ascii="Times New Roman" w:hAnsi="Times New Roman" w:cs="Times New Roman"/>
        </w:rPr>
        <w:t xml:space="preserve">=0. In all models with male individuals, the initial infected bird was male. </w:t>
      </w:r>
    </w:p>
    <w:p w14:paraId="74692709" w14:textId="4926969D" w:rsidR="00FE2A33" w:rsidRPr="00F63237" w:rsidRDefault="00FE2A33" w:rsidP="00FE2A33">
      <w:pPr>
        <w:rPr>
          <w:rFonts w:ascii="Times New Roman" w:hAnsi="Times New Roman" w:cs="Times New Roman"/>
          <w:bCs/>
        </w:rPr>
      </w:pPr>
      <w:r w:rsidRPr="00F63237">
        <w:rPr>
          <w:rFonts w:ascii="Times New Roman" w:hAnsi="Times New Roman" w:cs="Times New Roman"/>
          <w:bCs/>
        </w:rPr>
        <w:t xml:space="preserve"> </w:t>
      </w:r>
      <w:r w:rsidR="00ED40AE">
        <w:rPr>
          <w:rFonts w:ascii="Times New Roman" w:hAnsi="Times New Roman" w:cs="Times New Roman"/>
          <w:bCs/>
          <w:noProof/>
        </w:rPr>
        <w:drawing>
          <wp:inline distT="0" distB="0" distL="0" distR="0" wp14:anchorId="0C1D7963" wp14:editId="0A9ED200">
            <wp:extent cx="6468893" cy="4258840"/>
            <wp:effectExtent l="0" t="0" r="0" b="0"/>
            <wp:docPr id="1221253259" name="Picture 1" descr="A graph of days and d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53259" name="Picture 1" descr="A graph of days and days&#10;&#10;Description automatically generated"/>
                    <pic:cNvPicPr/>
                  </pic:nvPicPr>
                  <pic:blipFill rotWithShape="1">
                    <a:blip r:embed="rId15">
                      <a:extLst>
                        <a:ext uri="{28A0092B-C50C-407E-A947-70E740481C1C}">
                          <a14:useLocalDpi xmlns:a14="http://schemas.microsoft.com/office/drawing/2010/main" val="0"/>
                        </a:ext>
                      </a:extLst>
                    </a:blip>
                    <a:srcRect l="7365" r="7196"/>
                    <a:stretch/>
                  </pic:blipFill>
                  <pic:spPr bwMode="auto">
                    <a:xfrm>
                      <a:off x="0" y="0"/>
                      <a:ext cx="6479486" cy="4265814"/>
                    </a:xfrm>
                    <a:prstGeom prst="rect">
                      <a:avLst/>
                    </a:prstGeom>
                    <a:ln>
                      <a:noFill/>
                    </a:ln>
                    <a:extLst>
                      <a:ext uri="{53640926-AAD7-44D8-BBD7-CCE9431645EC}">
                        <a14:shadowObscured xmlns:a14="http://schemas.microsoft.com/office/drawing/2010/main"/>
                      </a:ext>
                    </a:extLst>
                  </pic:spPr>
                </pic:pic>
              </a:graphicData>
            </a:graphic>
          </wp:inline>
        </w:drawing>
      </w:r>
      <w:r w:rsidRPr="00F63237">
        <w:rPr>
          <w:rFonts w:ascii="Times New Roman" w:hAnsi="Times New Roman" w:cs="Times New Roman"/>
          <w:bCs/>
        </w:rPr>
        <w:br w:type="page"/>
      </w:r>
    </w:p>
    <w:p w14:paraId="010B720B" w14:textId="77777777" w:rsidR="00FE2A33" w:rsidRPr="00D5538A" w:rsidRDefault="00FE2A33" w:rsidP="00FE2A33">
      <w:pPr>
        <w:rPr>
          <w:rFonts w:ascii="Times New Roman" w:hAnsi="Times New Roman" w:cs="Times New Roman"/>
          <w:b/>
        </w:rPr>
      </w:pPr>
      <w:r w:rsidRPr="00D5538A">
        <w:rPr>
          <w:rFonts w:ascii="Times New Roman" w:hAnsi="Times New Roman" w:cs="Times New Roman"/>
          <w:b/>
        </w:rPr>
        <w:lastRenderedPageBreak/>
        <w:t>Tables</w:t>
      </w:r>
    </w:p>
    <w:tbl>
      <w:tblPr>
        <w:tblW w:w="8525" w:type="dxa"/>
        <w:tblLook w:val="04A0" w:firstRow="1" w:lastRow="0" w:firstColumn="1" w:lastColumn="0" w:noHBand="0" w:noVBand="1"/>
      </w:tblPr>
      <w:tblGrid>
        <w:gridCol w:w="6882"/>
        <w:gridCol w:w="963"/>
        <w:gridCol w:w="790"/>
      </w:tblGrid>
      <w:tr w:rsidR="00FE2A33" w:rsidRPr="004B3749" w14:paraId="644D03A5" w14:textId="77777777" w:rsidTr="003C168F">
        <w:trPr>
          <w:trHeight w:val="450"/>
        </w:trPr>
        <w:tc>
          <w:tcPr>
            <w:tcW w:w="852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22C785" w14:textId="77777777"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Table 1 | Description of SEIR model parameters and their associated symbols and values.</w:t>
            </w:r>
          </w:p>
        </w:tc>
      </w:tr>
      <w:tr w:rsidR="00FE2A33" w:rsidRPr="004B3749" w14:paraId="5452F0C8" w14:textId="77777777" w:rsidTr="003C168F">
        <w:trPr>
          <w:trHeight w:val="300"/>
        </w:trPr>
        <w:tc>
          <w:tcPr>
            <w:tcW w:w="6882" w:type="dxa"/>
            <w:tcBorders>
              <w:top w:val="nil"/>
              <w:left w:val="single" w:sz="4" w:space="0" w:color="auto"/>
              <w:bottom w:val="single" w:sz="4" w:space="0" w:color="auto"/>
              <w:right w:val="single" w:sz="4" w:space="0" w:color="auto"/>
            </w:tcBorders>
            <w:shd w:val="clear" w:color="auto" w:fill="auto"/>
            <w:noWrap/>
            <w:vAlign w:val="bottom"/>
            <w:hideMark/>
          </w:tcPr>
          <w:p w14:paraId="7991BD79" w14:textId="77777777"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 xml:space="preserve">Model parameter name </w:t>
            </w:r>
          </w:p>
        </w:tc>
        <w:tc>
          <w:tcPr>
            <w:tcW w:w="901" w:type="dxa"/>
            <w:tcBorders>
              <w:top w:val="nil"/>
              <w:left w:val="nil"/>
              <w:bottom w:val="single" w:sz="4" w:space="0" w:color="auto"/>
              <w:right w:val="single" w:sz="4" w:space="0" w:color="auto"/>
            </w:tcBorders>
            <w:shd w:val="clear" w:color="auto" w:fill="auto"/>
            <w:noWrap/>
            <w:vAlign w:val="bottom"/>
            <w:hideMark/>
          </w:tcPr>
          <w:p w14:paraId="671EBC19" w14:textId="77777777"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Symbol</w:t>
            </w:r>
          </w:p>
        </w:tc>
        <w:tc>
          <w:tcPr>
            <w:tcW w:w="742" w:type="dxa"/>
            <w:tcBorders>
              <w:top w:val="nil"/>
              <w:left w:val="nil"/>
              <w:bottom w:val="single" w:sz="4" w:space="0" w:color="auto"/>
              <w:right w:val="single" w:sz="4" w:space="0" w:color="auto"/>
            </w:tcBorders>
            <w:shd w:val="clear" w:color="auto" w:fill="auto"/>
            <w:noWrap/>
            <w:vAlign w:val="bottom"/>
            <w:hideMark/>
          </w:tcPr>
          <w:p w14:paraId="2122EFB7" w14:textId="77777777"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Value</w:t>
            </w:r>
          </w:p>
        </w:tc>
      </w:tr>
      <w:tr w:rsidR="00FE2A33" w:rsidRPr="004B3749" w14:paraId="68B4D604" w14:textId="77777777" w:rsidTr="003C168F">
        <w:trPr>
          <w:trHeight w:val="330"/>
        </w:trPr>
        <w:tc>
          <w:tcPr>
            <w:tcW w:w="6882" w:type="dxa"/>
            <w:tcBorders>
              <w:top w:val="nil"/>
              <w:left w:val="single" w:sz="4" w:space="0" w:color="auto"/>
              <w:bottom w:val="single" w:sz="4" w:space="0" w:color="auto"/>
              <w:right w:val="single" w:sz="4" w:space="0" w:color="auto"/>
            </w:tcBorders>
            <w:shd w:val="clear" w:color="auto" w:fill="auto"/>
            <w:noWrap/>
            <w:vAlign w:val="bottom"/>
            <w:hideMark/>
          </w:tcPr>
          <w:p w14:paraId="0CEC166E" w14:textId="77777777"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 xml:space="preserve">Transmission rate from male to male </w:t>
            </w:r>
          </w:p>
        </w:tc>
        <w:tc>
          <w:tcPr>
            <w:tcW w:w="901" w:type="dxa"/>
            <w:tcBorders>
              <w:top w:val="nil"/>
              <w:left w:val="nil"/>
              <w:bottom w:val="single" w:sz="4" w:space="0" w:color="auto"/>
              <w:right w:val="single" w:sz="4" w:space="0" w:color="auto"/>
            </w:tcBorders>
            <w:shd w:val="clear" w:color="auto" w:fill="auto"/>
            <w:noWrap/>
            <w:vAlign w:val="bottom"/>
            <w:hideMark/>
          </w:tcPr>
          <w:p w14:paraId="58253168" w14:textId="77777777" w:rsidR="00FE2A33" w:rsidRPr="004B3749" w:rsidRDefault="00FE2A33" w:rsidP="003C168F">
            <w:pPr>
              <w:jc w:val="center"/>
              <w:rPr>
                <w:rFonts w:ascii="Times New Roman" w:eastAsia="Times New Roman" w:hAnsi="Times New Roman" w:cs="Times New Roman"/>
                <w:i/>
                <w:iCs/>
                <w:color w:val="000000"/>
              </w:rPr>
            </w:pPr>
            <w:r w:rsidRPr="004B3749">
              <w:rPr>
                <w:rFonts w:ascii="Times New Roman" w:eastAsia="Times New Roman" w:hAnsi="Times New Roman" w:cs="Times New Roman"/>
                <w:i/>
                <w:iCs/>
                <w:color w:val="000000"/>
              </w:rPr>
              <w:t>β</w:t>
            </w:r>
            <w:r w:rsidRPr="004B3749">
              <w:rPr>
                <w:rFonts w:ascii="Times New Roman" w:eastAsia="Times New Roman" w:hAnsi="Times New Roman" w:cs="Times New Roman"/>
                <w:i/>
                <w:iCs/>
                <w:color w:val="000000"/>
                <w:vertAlign w:val="subscript"/>
              </w:rPr>
              <w:t>MM</w:t>
            </w:r>
          </w:p>
        </w:tc>
        <w:tc>
          <w:tcPr>
            <w:tcW w:w="742" w:type="dxa"/>
            <w:tcBorders>
              <w:top w:val="nil"/>
              <w:left w:val="nil"/>
              <w:bottom w:val="single" w:sz="4" w:space="0" w:color="auto"/>
              <w:right w:val="single" w:sz="4" w:space="0" w:color="auto"/>
            </w:tcBorders>
            <w:shd w:val="clear" w:color="auto" w:fill="auto"/>
            <w:noWrap/>
            <w:vAlign w:val="bottom"/>
            <w:hideMark/>
          </w:tcPr>
          <w:p w14:paraId="25E54C82" w14:textId="0C09F9C6"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0.</w:t>
            </w:r>
            <w:r w:rsidR="007E62E1">
              <w:rPr>
                <w:rFonts w:ascii="Times New Roman" w:eastAsia="Times New Roman" w:hAnsi="Times New Roman" w:cs="Times New Roman"/>
                <w:color w:val="000000"/>
              </w:rPr>
              <w:t>335</w:t>
            </w:r>
          </w:p>
        </w:tc>
      </w:tr>
      <w:tr w:rsidR="00FE2A33" w:rsidRPr="004B3749" w14:paraId="52DB405E" w14:textId="77777777" w:rsidTr="003C168F">
        <w:trPr>
          <w:trHeight w:val="330"/>
        </w:trPr>
        <w:tc>
          <w:tcPr>
            <w:tcW w:w="6882" w:type="dxa"/>
            <w:tcBorders>
              <w:top w:val="nil"/>
              <w:left w:val="single" w:sz="4" w:space="0" w:color="auto"/>
              <w:bottom w:val="single" w:sz="4" w:space="0" w:color="auto"/>
              <w:right w:val="single" w:sz="4" w:space="0" w:color="auto"/>
            </w:tcBorders>
            <w:shd w:val="clear" w:color="auto" w:fill="auto"/>
            <w:noWrap/>
            <w:vAlign w:val="bottom"/>
            <w:hideMark/>
          </w:tcPr>
          <w:p w14:paraId="7C833988" w14:textId="77777777"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Transmission rate from male to 50:50 mixed flock</w:t>
            </w:r>
          </w:p>
        </w:tc>
        <w:tc>
          <w:tcPr>
            <w:tcW w:w="901" w:type="dxa"/>
            <w:tcBorders>
              <w:top w:val="nil"/>
              <w:left w:val="nil"/>
              <w:bottom w:val="single" w:sz="4" w:space="0" w:color="auto"/>
              <w:right w:val="single" w:sz="4" w:space="0" w:color="auto"/>
            </w:tcBorders>
            <w:shd w:val="clear" w:color="auto" w:fill="auto"/>
            <w:noWrap/>
            <w:vAlign w:val="bottom"/>
            <w:hideMark/>
          </w:tcPr>
          <w:p w14:paraId="51430DB1" w14:textId="77777777" w:rsidR="00FE2A33" w:rsidRPr="004B3749" w:rsidRDefault="00FE2A33" w:rsidP="003C168F">
            <w:pPr>
              <w:jc w:val="center"/>
              <w:rPr>
                <w:rFonts w:ascii="Times New Roman" w:eastAsia="Times New Roman" w:hAnsi="Times New Roman" w:cs="Times New Roman"/>
                <w:i/>
                <w:iCs/>
                <w:color w:val="000000"/>
              </w:rPr>
            </w:pPr>
            <w:r w:rsidRPr="004B3749">
              <w:rPr>
                <w:rFonts w:ascii="Times New Roman" w:eastAsia="Times New Roman" w:hAnsi="Times New Roman" w:cs="Times New Roman"/>
                <w:i/>
                <w:iCs/>
                <w:color w:val="000000"/>
              </w:rPr>
              <w:t>β</w:t>
            </w:r>
            <w:r w:rsidRPr="004B3749">
              <w:rPr>
                <w:rFonts w:ascii="Times New Roman" w:eastAsia="Times New Roman" w:hAnsi="Times New Roman" w:cs="Times New Roman"/>
                <w:i/>
                <w:iCs/>
                <w:color w:val="000000"/>
                <w:vertAlign w:val="subscript"/>
              </w:rPr>
              <w:t>ME</w:t>
            </w:r>
          </w:p>
        </w:tc>
        <w:tc>
          <w:tcPr>
            <w:tcW w:w="742" w:type="dxa"/>
            <w:tcBorders>
              <w:top w:val="nil"/>
              <w:left w:val="nil"/>
              <w:bottom w:val="single" w:sz="4" w:space="0" w:color="auto"/>
              <w:right w:val="single" w:sz="4" w:space="0" w:color="auto"/>
            </w:tcBorders>
            <w:shd w:val="clear" w:color="auto" w:fill="auto"/>
            <w:noWrap/>
            <w:vAlign w:val="bottom"/>
            <w:hideMark/>
          </w:tcPr>
          <w:p w14:paraId="14711FBD" w14:textId="2D773690"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0.1</w:t>
            </w:r>
            <w:r w:rsidR="007E62E1">
              <w:rPr>
                <w:rFonts w:ascii="Times New Roman" w:eastAsia="Times New Roman" w:hAnsi="Times New Roman" w:cs="Times New Roman"/>
                <w:color w:val="000000"/>
              </w:rPr>
              <w:t>34</w:t>
            </w:r>
          </w:p>
        </w:tc>
      </w:tr>
      <w:tr w:rsidR="00FE2A33" w:rsidRPr="004B3749" w14:paraId="7625AB19" w14:textId="77777777" w:rsidTr="003C168F">
        <w:trPr>
          <w:trHeight w:val="330"/>
        </w:trPr>
        <w:tc>
          <w:tcPr>
            <w:tcW w:w="6882" w:type="dxa"/>
            <w:tcBorders>
              <w:top w:val="nil"/>
              <w:left w:val="single" w:sz="4" w:space="0" w:color="auto"/>
              <w:bottom w:val="single" w:sz="4" w:space="0" w:color="auto"/>
              <w:right w:val="single" w:sz="4" w:space="0" w:color="auto"/>
            </w:tcBorders>
            <w:shd w:val="clear" w:color="auto" w:fill="auto"/>
            <w:noWrap/>
            <w:vAlign w:val="bottom"/>
            <w:hideMark/>
          </w:tcPr>
          <w:p w14:paraId="40414485" w14:textId="77777777"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Transmission rate from female to female</w:t>
            </w:r>
          </w:p>
        </w:tc>
        <w:tc>
          <w:tcPr>
            <w:tcW w:w="901" w:type="dxa"/>
            <w:tcBorders>
              <w:top w:val="nil"/>
              <w:left w:val="nil"/>
              <w:bottom w:val="single" w:sz="4" w:space="0" w:color="auto"/>
              <w:right w:val="single" w:sz="4" w:space="0" w:color="auto"/>
            </w:tcBorders>
            <w:shd w:val="clear" w:color="auto" w:fill="auto"/>
            <w:noWrap/>
            <w:vAlign w:val="bottom"/>
            <w:hideMark/>
          </w:tcPr>
          <w:p w14:paraId="22EE6B26" w14:textId="77777777" w:rsidR="00FE2A33" w:rsidRPr="004B3749" w:rsidRDefault="00FE2A33" w:rsidP="003C168F">
            <w:pPr>
              <w:jc w:val="center"/>
              <w:rPr>
                <w:rFonts w:ascii="Times New Roman" w:eastAsia="Times New Roman" w:hAnsi="Times New Roman" w:cs="Times New Roman"/>
                <w:i/>
                <w:iCs/>
                <w:color w:val="000000"/>
              </w:rPr>
            </w:pPr>
            <w:r w:rsidRPr="004B3749">
              <w:rPr>
                <w:rFonts w:ascii="Times New Roman" w:eastAsia="Times New Roman" w:hAnsi="Times New Roman" w:cs="Times New Roman"/>
                <w:i/>
                <w:iCs/>
                <w:color w:val="000000"/>
              </w:rPr>
              <w:t>β</w:t>
            </w:r>
            <w:r w:rsidRPr="004B3749">
              <w:rPr>
                <w:rFonts w:ascii="Times New Roman" w:eastAsia="Times New Roman" w:hAnsi="Times New Roman" w:cs="Times New Roman"/>
                <w:i/>
                <w:iCs/>
                <w:color w:val="000000"/>
                <w:vertAlign w:val="subscript"/>
              </w:rPr>
              <w:t>FF</w:t>
            </w:r>
          </w:p>
        </w:tc>
        <w:tc>
          <w:tcPr>
            <w:tcW w:w="742" w:type="dxa"/>
            <w:tcBorders>
              <w:top w:val="nil"/>
              <w:left w:val="nil"/>
              <w:bottom w:val="single" w:sz="4" w:space="0" w:color="auto"/>
              <w:right w:val="single" w:sz="4" w:space="0" w:color="auto"/>
            </w:tcBorders>
            <w:shd w:val="clear" w:color="auto" w:fill="auto"/>
            <w:noWrap/>
            <w:vAlign w:val="bottom"/>
            <w:hideMark/>
          </w:tcPr>
          <w:p w14:paraId="2F915990" w14:textId="4657118F"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0.</w:t>
            </w:r>
            <w:r w:rsidR="007E62E1">
              <w:rPr>
                <w:rFonts w:ascii="Times New Roman" w:eastAsia="Times New Roman" w:hAnsi="Times New Roman" w:cs="Times New Roman"/>
                <w:color w:val="000000"/>
              </w:rPr>
              <w:t>138</w:t>
            </w:r>
          </w:p>
        </w:tc>
      </w:tr>
      <w:tr w:rsidR="00FE2A33" w:rsidRPr="004B3749" w14:paraId="05A5AEFC" w14:textId="77777777" w:rsidTr="003C168F">
        <w:trPr>
          <w:trHeight w:val="330"/>
        </w:trPr>
        <w:tc>
          <w:tcPr>
            <w:tcW w:w="6882" w:type="dxa"/>
            <w:tcBorders>
              <w:top w:val="nil"/>
              <w:left w:val="single" w:sz="4" w:space="0" w:color="auto"/>
              <w:bottom w:val="single" w:sz="4" w:space="0" w:color="auto"/>
              <w:right w:val="single" w:sz="4" w:space="0" w:color="auto"/>
            </w:tcBorders>
            <w:shd w:val="clear" w:color="auto" w:fill="auto"/>
            <w:noWrap/>
            <w:vAlign w:val="bottom"/>
            <w:hideMark/>
          </w:tcPr>
          <w:p w14:paraId="1E21CA5B" w14:textId="77777777"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 xml:space="preserve">Transmission rate from </w:t>
            </w:r>
            <w:r>
              <w:rPr>
                <w:rFonts w:ascii="Times New Roman" w:eastAsia="Times New Roman" w:hAnsi="Times New Roman" w:cs="Times New Roman"/>
                <w:color w:val="000000"/>
              </w:rPr>
              <w:t>fe</w:t>
            </w:r>
            <w:r w:rsidRPr="004B3749">
              <w:rPr>
                <w:rFonts w:ascii="Times New Roman" w:eastAsia="Times New Roman" w:hAnsi="Times New Roman" w:cs="Times New Roman"/>
                <w:color w:val="000000"/>
              </w:rPr>
              <w:t>male to 50:50 mixed flock</w:t>
            </w:r>
          </w:p>
        </w:tc>
        <w:tc>
          <w:tcPr>
            <w:tcW w:w="901" w:type="dxa"/>
            <w:tcBorders>
              <w:top w:val="nil"/>
              <w:left w:val="nil"/>
              <w:bottom w:val="single" w:sz="4" w:space="0" w:color="auto"/>
              <w:right w:val="single" w:sz="4" w:space="0" w:color="auto"/>
            </w:tcBorders>
            <w:shd w:val="clear" w:color="auto" w:fill="auto"/>
            <w:noWrap/>
            <w:vAlign w:val="bottom"/>
            <w:hideMark/>
          </w:tcPr>
          <w:p w14:paraId="115CCAAC" w14:textId="77777777" w:rsidR="00FE2A33" w:rsidRPr="004B3749" w:rsidRDefault="00FE2A33" w:rsidP="003C168F">
            <w:pPr>
              <w:jc w:val="center"/>
              <w:rPr>
                <w:rFonts w:ascii="Times New Roman" w:eastAsia="Times New Roman" w:hAnsi="Times New Roman" w:cs="Times New Roman"/>
                <w:i/>
                <w:iCs/>
                <w:color w:val="000000"/>
              </w:rPr>
            </w:pPr>
            <w:r w:rsidRPr="004B3749">
              <w:rPr>
                <w:rFonts w:ascii="Times New Roman" w:eastAsia="Times New Roman" w:hAnsi="Times New Roman" w:cs="Times New Roman"/>
                <w:i/>
                <w:iCs/>
                <w:color w:val="000000"/>
              </w:rPr>
              <w:t>β</w:t>
            </w:r>
            <w:r w:rsidRPr="004B3749">
              <w:rPr>
                <w:rFonts w:ascii="Times New Roman" w:eastAsia="Times New Roman" w:hAnsi="Times New Roman" w:cs="Times New Roman"/>
                <w:i/>
                <w:iCs/>
                <w:color w:val="000000"/>
                <w:vertAlign w:val="subscript"/>
              </w:rPr>
              <w:t>FE</w:t>
            </w:r>
          </w:p>
        </w:tc>
        <w:tc>
          <w:tcPr>
            <w:tcW w:w="742" w:type="dxa"/>
            <w:tcBorders>
              <w:top w:val="nil"/>
              <w:left w:val="nil"/>
              <w:bottom w:val="single" w:sz="4" w:space="0" w:color="auto"/>
              <w:right w:val="single" w:sz="4" w:space="0" w:color="auto"/>
            </w:tcBorders>
            <w:shd w:val="clear" w:color="auto" w:fill="auto"/>
            <w:noWrap/>
            <w:vAlign w:val="bottom"/>
            <w:hideMark/>
          </w:tcPr>
          <w:p w14:paraId="2FD7D225" w14:textId="05791CC8"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0.</w:t>
            </w:r>
            <w:r>
              <w:rPr>
                <w:rFonts w:ascii="Times New Roman" w:eastAsia="Times New Roman" w:hAnsi="Times New Roman" w:cs="Times New Roman"/>
                <w:color w:val="000000"/>
              </w:rPr>
              <w:t>1</w:t>
            </w:r>
            <w:r w:rsidR="007E62E1">
              <w:rPr>
                <w:rFonts w:ascii="Times New Roman" w:eastAsia="Times New Roman" w:hAnsi="Times New Roman" w:cs="Times New Roman"/>
                <w:color w:val="000000"/>
              </w:rPr>
              <w:t>28</w:t>
            </w:r>
          </w:p>
        </w:tc>
      </w:tr>
      <w:tr w:rsidR="00FE2A33" w:rsidRPr="004B3749" w14:paraId="189B0301" w14:textId="77777777" w:rsidTr="003C168F">
        <w:trPr>
          <w:trHeight w:val="330"/>
        </w:trPr>
        <w:tc>
          <w:tcPr>
            <w:tcW w:w="6882" w:type="dxa"/>
            <w:tcBorders>
              <w:top w:val="nil"/>
              <w:left w:val="single" w:sz="4" w:space="0" w:color="auto"/>
              <w:bottom w:val="single" w:sz="4" w:space="0" w:color="auto"/>
              <w:right w:val="single" w:sz="4" w:space="0" w:color="auto"/>
            </w:tcBorders>
            <w:shd w:val="clear" w:color="auto" w:fill="auto"/>
            <w:noWrap/>
            <w:vAlign w:val="bottom"/>
            <w:hideMark/>
          </w:tcPr>
          <w:p w14:paraId="4036AF59" w14:textId="77777777"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Rate at which males move from exposed to infectious states</w:t>
            </w:r>
          </w:p>
        </w:tc>
        <w:tc>
          <w:tcPr>
            <w:tcW w:w="901" w:type="dxa"/>
            <w:tcBorders>
              <w:top w:val="nil"/>
              <w:left w:val="nil"/>
              <w:bottom w:val="single" w:sz="4" w:space="0" w:color="auto"/>
              <w:right w:val="single" w:sz="4" w:space="0" w:color="auto"/>
            </w:tcBorders>
            <w:shd w:val="clear" w:color="auto" w:fill="auto"/>
            <w:noWrap/>
            <w:vAlign w:val="bottom"/>
            <w:hideMark/>
          </w:tcPr>
          <w:p w14:paraId="0CF1ACD9" w14:textId="77777777" w:rsidR="00FE2A33" w:rsidRPr="004B3749" w:rsidRDefault="00FE2A33" w:rsidP="003C168F">
            <w:pPr>
              <w:jc w:val="center"/>
              <w:rPr>
                <w:rFonts w:ascii="Times New Roman" w:eastAsia="Times New Roman" w:hAnsi="Times New Roman" w:cs="Times New Roman"/>
                <w:i/>
                <w:iCs/>
                <w:color w:val="000000"/>
              </w:rPr>
            </w:pPr>
            <w:proofErr w:type="spellStart"/>
            <w:r w:rsidRPr="004B3749">
              <w:rPr>
                <w:rFonts w:ascii="Times New Roman" w:eastAsia="Times New Roman" w:hAnsi="Times New Roman" w:cs="Times New Roman"/>
                <w:i/>
                <w:iCs/>
                <w:color w:val="000000"/>
              </w:rPr>
              <w:t>σ</w:t>
            </w:r>
            <w:r w:rsidRPr="004B3749">
              <w:rPr>
                <w:rFonts w:ascii="Times New Roman" w:eastAsia="Times New Roman" w:hAnsi="Times New Roman" w:cs="Times New Roman"/>
                <w:i/>
                <w:iCs/>
                <w:color w:val="000000"/>
                <w:vertAlign w:val="subscript"/>
              </w:rPr>
              <w:t>M</w:t>
            </w:r>
            <w:proofErr w:type="spellEnd"/>
          </w:p>
        </w:tc>
        <w:tc>
          <w:tcPr>
            <w:tcW w:w="742" w:type="dxa"/>
            <w:tcBorders>
              <w:top w:val="nil"/>
              <w:left w:val="nil"/>
              <w:bottom w:val="single" w:sz="4" w:space="0" w:color="auto"/>
              <w:right w:val="single" w:sz="4" w:space="0" w:color="auto"/>
            </w:tcBorders>
            <w:shd w:val="clear" w:color="auto" w:fill="auto"/>
            <w:noWrap/>
            <w:vAlign w:val="bottom"/>
            <w:hideMark/>
          </w:tcPr>
          <w:p w14:paraId="2E80A732" w14:textId="77777777"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0.273</w:t>
            </w:r>
          </w:p>
        </w:tc>
      </w:tr>
      <w:tr w:rsidR="00FE2A33" w:rsidRPr="004B3749" w14:paraId="0DB72985" w14:textId="77777777" w:rsidTr="003C168F">
        <w:trPr>
          <w:trHeight w:val="330"/>
        </w:trPr>
        <w:tc>
          <w:tcPr>
            <w:tcW w:w="6882" w:type="dxa"/>
            <w:tcBorders>
              <w:top w:val="nil"/>
              <w:left w:val="single" w:sz="4" w:space="0" w:color="auto"/>
              <w:bottom w:val="single" w:sz="4" w:space="0" w:color="auto"/>
              <w:right w:val="single" w:sz="4" w:space="0" w:color="auto"/>
            </w:tcBorders>
            <w:shd w:val="clear" w:color="auto" w:fill="auto"/>
            <w:noWrap/>
            <w:vAlign w:val="bottom"/>
            <w:hideMark/>
          </w:tcPr>
          <w:p w14:paraId="0DCF0F0A" w14:textId="77777777"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Rate at which females move from exposed to infectious states</w:t>
            </w:r>
          </w:p>
        </w:tc>
        <w:tc>
          <w:tcPr>
            <w:tcW w:w="901" w:type="dxa"/>
            <w:tcBorders>
              <w:top w:val="nil"/>
              <w:left w:val="nil"/>
              <w:bottom w:val="single" w:sz="4" w:space="0" w:color="auto"/>
              <w:right w:val="single" w:sz="4" w:space="0" w:color="auto"/>
            </w:tcBorders>
            <w:shd w:val="clear" w:color="auto" w:fill="auto"/>
            <w:noWrap/>
            <w:vAlign w:val="bottom"/>
            <w:hideMark/>
          </w:tcPr>
          <w:p w14:paraId="5B80A5A8" w14:textId="77777777" w:rsidR="00FE2A33" w:rsidRPr="004B3749" w:rsidRDefault="00FE2A33" w:rsidP="003C168F">
            <w:pPr>
              <w:jc w:val="center"/>
              <w:rPr>
                <w:rFonts w:ascii="Times New Roman" w:eastAsia="Times New Roman" w:hAnsi="Times New Roman" w:cs="Times New Roman"/>
                <w:i/>
                <w:iCs/>
                <w:color w:val="000000"/>
              </w:rPr>
            </w:pPr>
            <w:proofErr w:type="spellStart"/>
            <w:r w:rsidRPr="004B3749">
              <w:rPr>
                <w:rFonts w:ascii="Times New Roman" w:eastAsia="Times New Roman" w:hAnsi="Times New Roman" w:cs="Times New Roman"/>
                <w:i/>
                <w:iCs/>
                <w:color w:val="000000"/>
              </w:rPr>
              <w:t>σ</w:t>
            </w:r>
            <w:r w:rsidRPr="004B3749">
              <w:rPr>
                <w:rFonts w:ascii="Times New Roman" w:eastAsia="Times New Roman" w:hAnsi="Times New Roman" w:cs="Times New Roman"/>
                <w:i/>
                <w:iCs/>
                <w:color w:val="000000"/>
                <w:vertAlign w:val="subscript"/>
              </w:rPr>
              <w:t>F</w:t>
            </w:r>
            <w:proofErr w:type="spellEnd"/>
          </w:p>
        </w:tc>
        <w:tc>
          <w:tcPr>
            <w:tcW w:w="742" w:type="dxa"/>
            <w:tcBorders>
              <w:top w:val="nil"/>
              <w:left w:val="nil"/>
              <w:bottom w:val="single" w:sz="4" w:space="0" w:color="auto"/>
              <w:right w:val="single" w:sz="4" w:space="0" w:color="auto"/>
            </w:tcBorders>
            <w:shd w:val="clear" w:color="auto" w:fill="auto"/>
            <w:noWrap/>
            <w:vAlign w:val="bottom"/>
            <w:hideMark/>
          </w:tcPr>
          <w:p w14:paraId="7160129E" w14:textId="77777777"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0.200</w:t>
            </w:r>
          </w:p>
        </w:tc>
      </w:tr>
      <w:tr w:rsidR="00FE2A33" w:rsidRPr="004B3749" w14:paraId="5FB5D041" w14:textId="77777777" w:rsidTr="003C168F">
        <w:trPr>
          <w:trHeight w:val="330"/>
        </w:trPr>
        <w:tc>
          <w:tcPr>
            <w:tcW w:w="6882" w:type="dxa"/>
            <w:tcBorders>
              <w:top w:val="nil"/>
              <w:left w:val="single" w:sz="4" w:space="0" w:color="auto"/>
              <w:bottom w:val="single" w:sz="4" w:space="0" w:color="auto"/>
              <w:right w:val="single" w:sz="4" w:space="0" w:color="auto"/>
            </w:tcBorders>
            <w:shd w:val="clear" w:color="auto" w:fill="auto"/>
            <w:noWrap/>
            <w:vAlign w:val="bottom"/>
            <w:hideMark/>
          </w:tcPr>
          <w:p w14:paraId="46C07901" w14:textId="77777777"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Recovery rate of male individuals</w:t>
            </w:r>
          </w:p>
        </w:tc>
        <w:tc>
          <w:tcPr>
            <w:tcW w:w="901" w:type="dxa"/>
            <w:tcBorders>
              <w:top w:val="nil"/>
              <w:left w:val="nil"/>
              <w:bottom w:val="single" w:sz="4" w:space="0" w:color="auto"/>
              <w:right w:val="single" w:sz="4" w:space="0" w:color="auto"/>
            </w:tcBorders>
            <w:shd w:val="clear" w:color="auto" w:fill="auto"/>
            <w:noWrap/>
            <w:vAlign w:val="bottom"/>
            <w:hideMark/>
          </w:tcPr>
          <w:p w14:paraId="60EF0336" w14:textId="77777777" w:rsidR="00FE2A33" w:rsidRPr="004B3749" w:rsidRDefault="00FE2A33" w:rsidP="003C168F">
            <w:pPr>
              <w:jc w:val="center"/>
              <w:rPr>
                <w:rFonts w:ascii="Times New Roman" w:eastAsia="Times New Roman" w:hAnsi="Times New Roman" w:cs="Times New Roman"/>
                <w:i/>
                <w:iCs/>
                <w:color w:val="000000"/>
              </w:rPr>
            </w:pPr>
            <w:proofErr w:type="spellStart"/>
            <w:r w:rsidRPr="004B3749">
              <w:rPr>
                <w:rFonts w:ascii="Times New Roman" w:eastAsia="Times New Roman" w:hAnsi="Times New Roman" w:cs="Times New Roman"/>
                <w:i/>
                <w:iCs/>
                <w:color w:val="000000"/>
              </w:rPr>
              <w:t>γ</w:t>
            </w:r>
            <w:r w:rsidRPr="004B3749">
              <w:rPr>
                <w:rFonts w:ascii="Times New Roman" w:eastAsia="Times New Roman" w:hAnsi="Times New Roman" w:cs="Times New Roman"/>
                <w:i/>
                <w:iCs/>
                <w:color w:val="000000"/>
                <w:vertAlign w:val="subscript"/>
              </w:rPr>
              <w:t>M</w:t>
            </w:r>
            <w:proofErr w:type="spellEnd"/>
          </w:p>
        </w:tc>
        <w:tc>
          <w:tcPr>
            <w:tcW w:w="742" w:type="dxa"/>
            <w:tcBorders>
              <w:top w:val="nil"/>
              <w:left w:val="nil"/>
              <w:bottom w:val="single" w:sz="4" w:space="0" w:color="auto"/>
              <w:right w:val="single" w:sz="4" w:space="0" w:color="auto"/>
            </w:tcBorders>
            <w:shd w:val="clear" w:color="auto" w:fill="auto"/>
            <w:noWrap/>
            <w:vAlign w:val="bottom"/>
            <w:hideMark/>
          </w:tcPr>
          <w:p w14:paraId="4C5B2561" w14:textId="77777777"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0.048</w:t>
            </w:r>
          </w:p>
        </w:tc>
      </w:tr>
      <w:tr w:rsidR="00FE2A33" w:rsidRPr="004B3749" w14:paraId="068F9736" w14:textId="77777777" w:rsidTr="003C168F">
        <w:trPr>
          <w:trHeight w:val="330"/>
        </w:trPr>
        <w:tc>
          <w:tcPr>
            <w:tcW w:w="6882" w:type="dxa"/>
            <w:tcBorders>
              <w:top w:val="nil"/>
              <w:left w:val="single" w:sz="4" w:space="0" w:color="auto"/>
              <w:bottom w:val="single" w:sz="4" w:space="0" w:color="auto"/>
              <w:right w:val="single" w:sz="4" w:space="0" w:color="auto"/>
            </w:tcBorders>
            <w:shd w:val="clear" w:color="auto" w:fill="auto"/>
            <w:noWrap/>
            <w:vAlign w:val="bottom"/>
            <w:hideMark/>
          </w:tcPr>
          <w:p w14:paraId="5D033B88" w14:textId="77777777"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Recovery rate of female individuals</w:t>
            </w:r>
          </w:p>
        </w:tc>
        <w:tc>
          <w:tcPr>
            <w:tcW w:w="901" w:type="dxa"/>
            <w:tcBorders>
              <w:top w:val="nil"/>
              <w:left w:val="nil"/>
              <w:bottom w:val="single" w:sz="4" w:space="0" w:color="auto"/>
              <w:right w:val="single" w:sz="4" w:space="0" w:color="auto"/>
            </w:tcBorders>
            <w:shd w:val="clear" w:color="auto" w:fill="auto"/>
            <w:noWrap/>
            <w:vAlign w:val="bottom"/>
            <w:hideMark/>
          </w:tcPr>
          <w:p w14:paraId="600FBC27" w14:textId="77777777" w:rsidR="00FE2A33" w:rsidRPr="004B3749" w:rsidRDefault="00FE2A33" w:rsidP="003C168F">
            <w:pPr>
              <w:jc w:val="center"/>
              <w:rPr>
                <w:rFonts w:ascii="Times New Roman" w:eastAsia="Times New Roman" w:hAnsi="Times New Roman" w:cs="Times New Roman"/>
                <w:i/>
                <w:iCs/>
                <w:color w:val="000000"/>
              </w:rPr>
            </w:pPr>
            <w:proofErr w:type="spellStart"/>
            <w:r w:rsidRPr="004B3749">
              <w:rPr>
                <w:rFonts w:ascii="Times New Roman" w:eastAsia="Times New Roman" w:hAnsi="Times New Roman" w:cs="Times New Roman"/>
                <w:i/>
                <w:iCs/>
                <w:color w:val="000000"/>
              </w:rPr>
              <w:t>γ</w:t>
            </w:r>
            <w:r w:rsidRPr="004B3749">
              <w:rPr>
                <w:rFonts w:ascii="Times New Roman" w:eastAsia="Times New Roman" w:hAnsi="Times New Roman" w:cs="Times New Roman"/>
                <w:i/>
                <w:iCs/>
                <w:color w:val="000000"/>
                <w:vertAlign w:val="subscript"/>
              </w:rPr>
              <w:t>F</w:t>
            </w:r>
            <w:proofErr w:type="spellEnd"/>
          </w:p>
        </w:tc>
        <w:tc>
          <w:tcPr>
            <w:tcW w:w="742" w:type="dxa"/>
            <w:tcBorders>
              <w:top w:val="nil"/>
              <w:left w:val="nil"/>
              <w:bottom w:val="single" w:sz="4" w:space="0" w:color="auto"/>
              <w:right w:val="single" w:sz="4" w:space="0" w:color="auto"/>
            </w:tcBorders>
            <w:shd w:val="clear" w:color="auto" w:fill="auto"/>
            <w:noWrap/>
            <w:vAlign w:val="bottom"/>
            <w:hideMark/>
          </w:tcPr>
          <w:p w14:paraId="56B205A6" w14:textId="77777777"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0.091</w:t>
            </w:r>
          </w:p>
        </w:tc>
      </w:tr>
      <w:tr w:rsidR="00FE2A33" w:rsidRPr="004B3749" w14:paraId="56C83D50" w14:textId="77777777" w:rsidTr="003C168F">
        <w:trPr>
          <w:trHeight w:val="330"/>
        </w:trPr>
        <w:tc>
          <w:tcPr>
            <w:tcW w:w="6882" w:type="dxa"/>
            <w:tcBorders>
              <w:top w:val="nil"/>
              <w:left w:val="single" w:sz="4" w:space="0" w:color="auto"/>
              <w:bottom w:val="single" w:sz="4" w:space="0" w:color="auto"/>
              <w:right w:val="single" w:sz="4" w:space="0" w:color="auto"/>
            </w:tcBorders>
            <w:shd w:val="clear" w:color="auto" w:fill="auto"/>
            <w:noWrap/>
            <w:vAlign w:val="bottom"/>
            <w:hideMark/>
          </w:tcPr>
          <w:p w14:paraId="4DA8A74B" w14:textId="77777777"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Daily mortality rate of male individuals</w:t>
            </w:r>
          </w:p>
        </w:tc>
        <w:tc>
          <w:tcPr>
            <w:tcW w:w="901" w:type="dxa"/>
            <w:tcBorders>
              <w:top w:val="nil"/>
              <w:left w:val="nil"/>
              <w:bottom w:val="single" w:sz="4" w:space="0" w:color="auto"/>
              <w:right w:val="single" w:sz="4" w:space="0" w:color="auto"/>
            </w:tcBorders>
            <w:shd w:val="clear" w:color="auto" w:fill="auto"/>
            <w:noWrap/>
            <w:vAlign w:val="bottom"/>
            <w:hideMark/>
          </w:tcPr>
          <w:p w14:paraId="5A26B652" w14:textId="77777777" w:rsidR="00FE2A33" w:rsidRPr="004B3749" w:rsidRDefault="00FE2A33" w:rsidP="003C168F">
            <w:pPr>
              <w:jc w:val="center"/>
              <w:rPr>
                <w:rFonts w:ascii="Times New Roman" w:eastAsia="Times New Roman" w:hAnsi="Times New Roman" w:cs="Times New Roman"/>
                <w:i/>
                <w:iCs/>
                <w:color w:val="000000"/>
              </w:rPr>
            </w:pPr>
            <w:r w:rsidRPr="004B3749">
              <w:rPr>
                <w:rFonts w:ascii="Times New Roman" w:eastAsia="Times New Roman" w:hAnsi="Times New Roman" w:cs="Times New Roman"/>
                <w:i/>
                <w:iCs/>
                <w:color w:val="000000"/>
              </w:rPr>
              <w:t>µ</w:t>
            </w:r>
            <w:r w:rsidRPr="004B3749">
              <w:rPr>
                <w:rFonts w:ascii="Times New Roman" w:eastAsia="Times New Roman" w:hAnsi="Times New Roman" w:cs="Times New Roman"/>
                <w:i/>
                <w:iCs/>
                <w:color w:val="000000"/>
                <w:vertAlign w:val="subscript"/>
              </w:rPr>
              <w:t>M</w:t>
            </w:r>
          </w:p>
        </w:tc>
        <w:tc>
          <w:tcPr>
            <w:tcW w:w="742" w:type="dxa"/>
            <w:tcBorders>
              <w:top w:val="nil"/>
              <w:left w:val="nil"/>
              <w:bottom w:val="single" w:sz="4" w:space="0" w:color="auto"/>
              <w:right w:val="single" w:sz="4" w:space="0" w:color="auto"/>
            </w:tcBorders>
            <w:shd w:val="clear" w:color="auto" w:fill="auto"/>
            <w:noWrap/>
            <w:vAlign w:val="bottom"/>
            <w:hideMark/>
          </w:tcPr>
          <w:p w14:paraId="1A2D4BF9" w14:textId="105590C9"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0.01</w:t>
            </w:r>
            <w:r w:rsidR="007E62E1">
              <w:rPr>
                <w:rFonts w:ascii="Times New Roman" w:eastAsia="Times New Roman" w:hAnsi="Times New Roman" w:cs="Times New Roman"/>
                <w:color w:val="000000"/>
              </w:rPr>
              <w:t>6</w:t>
            </w:r>
          </w:p>
        </w:tc>
      </w:tr>
      <w:tr w:rsidR="00FE2A33" w:rsidRPr="004B3749" w14:paraId="59020425" w14:textId="77777777" w:rsidTr="003C168F">
        <w:trPr>
          <w:trHeight w:val="330"/>
        </w:trPr>
        <w:tc>
          <w:tcPr>
            <w:tcW w:w="6882" w:type="dxa"/>
            <w:tcBorders>
              <w:top w:val="nil"/>
              <w:left w:val="single" w:sz="4" w:space="0" w:color="auto"/>
              <w:bottom w:val="single" w:sz="4" w:space="0" w:color="auto"/>
              <w:right w:val="single" w:sz="4" w:space="0" w:color="auto"/>
            </w:tcBorders>
            <w:shd w:val="clear" w:color="auto" w:fill="auto"/>
            <w:noWrap/>
            <w:vAlign w:val="bottom"/>
            <w:hideMark/>
          </w:tcPr>
          <w:p w14:paraId="5AE50632" w14:textId="77777777"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Daily mortality rate of female individuals</w:t>
            </w:r>
          </w:p>
        </w:tc>
        <w:tc>
          <w:tcPr>
            <w:tcW w:w="901" w:type="dxa"/>
            <w:tcBorders>
              <w:top w:val="nil"/>
              <w:left w:val="nil"/>
              <w:bottom w:val="single" w:sz="4" w:space="0" w:color="auto"/>
              <w:right w:val="single" w:sz="4" w:space="0" w:color="auto"/>
            </w:tcBorders>
            <w:shd w:val="clear" w:color="auto" w:fill="auto"/>
            <w:noWrap/>
            <w:vAlign w:val="bottom"/>
            <w:hideMark/>
          </w:tcPr>
          <w:p w14:paraId="1F2B87BB" w14:textId="77777777" w:rsidR="00FE2A33" w:rsidRPr="004B3749" w:rsidRDefault="00FE2A33" w:rsidP="003C168F">
            <w:pPr>
              <w:jc w:val="center"/>
              <w:rPr>
                <w:rFonts w:ascii="Times New Roman" w:eastAsia="Times New Roman" w:hAnsi="Times New Roman" w:cs="Times New Roman"/>
                <w:i/>
                <w:iCs/>
                <w:color w:val="000000"/>
              </w:rPr>
            </w:pPr>
            <w:r w:rsidRPr="004B3749">
              <w:rPr>
                <w:rFonts w:ascii="Times New Roman" w:eastAsia="Times New Roman" w:hAnsi="Times New Roman" w:cs="Times New Roman"/>
                <w:i/>
                <w:iCs/>
                <w:color w:val="000000"/>
              </w:rPr>
              <w:t>µ</w:t>
            </w:r>
            <w:r w:rsidRPr="004B3749">
              <w:rPr>
                <w:rFonts w:ascii="Times New Roman" w:eastAsia="Times New Roman" w:hAnsi="Times New Roman" w:cs="Times New Roman"/>
                <w:i/>
                <w:iCs/>
                <w:color w:val="000000"/>
                <w:vertAlign w:val="subscript"/>
              </w:rPr>
              <w:t>F</w:t>
            </w:r>
          </w:p>
        </w:tc>
        <w:tc>
          <w:tcPr>
            <w:tcW w:w="742" w:type="dxa"/>
            <w:tcBorders>
              <w:top w:val="nil"/>
              <w:left w:val="nil"/>
              <w:bottom w:val="single" w:sz="4" w:space="0" w:color="auto"/>
              <w:right w:val="single" w:sz="4" w:space="0" w:color="auto"/>
            </w:tcBorders>
            <w:shd w:val="clear" w:color="auto" w:fill="auto"/>
            <w:noWrap/>
            <w:vAlign w:val="bottom"/>
            <w:hideMark/>
          </w:tcPr>
          <w:p w14:paraId="6402C30F" w14:textId="77777777" w:rsidR="00FE2A33" w:rsidRPr="004B3749" w:rsidRDefault="00FE2A33" w:rsidP="003C168F">
            <w:pPr>
              <w:rPr>
                <w:rFonts w:ascii="Times New Roman" w:eastAsia="Times New Roman" w:hAnsi="Times New Roman" w:cs="Times New Roman"/>
                <w:color w:val="000000"/>
              </w:rPr>
            </w:pPr>
            <w:r w:rsidRPr="004B3749">
              <w:rPr>
                <w:rFonts w:ascii="Times New Roman" w:eastAsia="Times New Roman" w:hAnsi="Times New Roman" w:cs="Times New Roman"/>
                <w:color w:val="000000"/>
              </w:rPr>
              <w:t>0.005</w:t>
            </w:r>
          </w:p>
        </w:tc>
      </w:tr>
    </w:tbl>
    <w:p w14:paraId="3D65D649" w14:textId="77777777" w:rsidR="00FE2A33" w:rsidRDefault="00FE2A33" w:rsidP="00FE2A33">
      <w:pPr>
        <w:rPr>
          <w:rFonts w:ascii="Times New Roman" w:hAnsi="Times New Roman" w:cs="Times New Roman"/>
        </w:rPr>
      </w:pPr>
    </w:p>
    <w:p w14:paraId="27D166A6" w14:textId="77777777" w:rsidR="008507AD" w:rsidRDefault="008507AD"/>
    <w:sectPr w:rsidR="008507AD" w:rsidSect="0082392A">
      <w:headerReference w:type="default" r:id="rId16"/>
      <w:footerReference w:type="default" r:id="rId1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2B19B" w14:textId="77777777" w:rsidR="00705ED2" w:rsidRDefault="00705ED2">
      <w:r>
        <w:separator/>
      </w:r>
    </w:p>
  </w:endnote>
  <w:endnote w:type="continuationSeparator" w:id="0">
    <w:p w14:paraId="1204C7C7" w14:textId="77777777" w:rsidR="00705ED2" w:rsidRDefault="00705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3542757"/>
      <w:docPartObj>
        <w:docPartGallery w:val="Page Numbers (Bottom of Page)"/>
        <w:docPartUnique/>
      </w:docPartObj>
    </w:sdtPr>
    <w:sdtEndPr>
      <w:rPr>
        <w:noProof/>
      </w:rPr>
    </w:sdtEndPr>
    <w:sdtContent>
      <w:p w14:paraId="5B9C39D0" w14:textId="1B7EF852" w:rsidR="008507AD" w:rsidRDefault="003D55F2">
        <w:pPr>
          <w:pStyle w:val="Footer"/>
          <w:jc w:val="right"/>
        </w:pPr>
        <w:r>
          <w:fldChar w:fldCharType="begin"/>
        </w:r>
        <w:r>
          <w:instrText xml:space="preserve"> PAGE   \* MERGEFORMAT </w:instrText>
        </w:r>
        <w:r>
          <w:fldChar w:fldCharType="separate"/>
        </w:r>
        <w:r w:rsidR="005902A3">
          <w:rPr>
            <w:noProof/>
          </w:rPr>
          <w:t>16</w:t>
        </w:r>
        <w:r>
          <w:rPr>
            <w:noProof/>
          </w:rPr>
          <w:fldChar w:fldCharType="end"/>
        </w:r>
      </w:p>
    </w:sdtContent>
  </w:sdt>
  <w:p w14:paraId="1362D946" w14:textId="77777777" w:rsidR="008507AD" w:rsidRDefault="00850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2C607" w14:textId="77777777" w:rsidR="00705ED2" w:rsidRDefault="00705ED2">
      <w:r>
        <w:separator/>
      </w:r>
    </w:p>
  </w:footnote>
  <w:footnote w:type="continuationSeparator" w:id="0">
    <w:p w14:paraId="2526F231" w14:textId="77777777" w:rsidR="00705ED2" w:rsidRDefault="00705E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53363" w14:textId="77777777" w:rsidR="008507AD" w:rsidRDefault="008507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3373F"/>
    <w:multiLevelType w:val="hybridMultilevel"/>
    <w:tmpl w:val="49386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CD5580"/>
    <w:multiLevelType w:val="hybridMultilevel"/>
    <w:tmpl w:val="C452F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4923A8"/>
    <w:multiLevelType w:val="hybridMultilevel"/>
    <w:tmpl w:val="5C244F46"/>
    <w:lvl w:ilvl="0" w:tplc="330EE8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B56D5C"/>
    <w:multiLevelType w:val="hybridMultilevel"/>
    <w:tmpl w:val="0DBE84F6"/>
    <w:lvl w:ilvl="0" w:tplc="CF1CDF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011EA9"/>
    <w:multiLevelType w:val="hybridMultilevel"/>
    <w:tmpl w:val="00BC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AB28FF"/>
    <w:multiLevelType w:val="hybridMultilevel"/>
    <w:tmpl w:val="06A2B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911F91"/>
    <w:multiLevelType w:val="hybridMultilevel"/>
    <w:tmpl w:val="66787CA8"/>
    <w:lvl w:ilvl="0" w:tplc="FEA259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B454B6"/>
    <w:multiLevelType w:val="hybridMultilevel"/>
    <w:tmpl w:val="9F644786"/>
    <w:lvl w:ilvl="0" w:tplc="F724C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CA7B72"/>
    <w:multiLevelType w:val="hybridMultilevel"/>
    <w:tmpl w:val="17044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4864935">
    <w:abstractNumId w:val="5"/>
  </w:num>
  <w:num w:numId="2" w16cid:durableId="968320244">
    <w:abstractNumId w:val="8"/>
  </w:num>
  <w:num w:numId="3" w16cid:durableId="124931360">
    <w:abstractNumId w:val="4"/>
  </w:num>
  <w:num w:numId="4" w16cid:durableId="1783303751">
    <w:abstractNumId w:val="1"/>
  </w:num>
  <w:num w:numId="5" w16cid:durableId="441849655">
    <w:abstractNumId w:val="0"/>
  </w:num>
  <w:num w:numId="6" w16cid:durableId="1402099003">
    <w:abstractNumId w:val="2"/>
  </w:num>
  <w:num w:numId="7" w16cid:durableId="1901867797">
    <w:abstractNumId w:val="6"/>
  </w:num>
  <w:num w:numId="8" w16cid:durableId="1142890042">
    <w:abstractNumId w:val="3"/>
  </w:num>
  <w:num w:numId="9" w16cid:durableId="16929937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A33"/>
    <w:rsid w:val="0005553C"/>
    <w:rsid w:val="00090A33"/>
    <w:rsid w:val="000A0329"/>
    <w:rsid w:val="000E2CC2"/>
    <w:rsid w:val="00135AB5"/>
    <w:rsid w:val="00160943"/>
    <w:rsid w:val="001B1605"/>
    <w:rsid w:val="001D6CE8"/>
    <w:rsid w:val="001E7E04"/>
    <w:rsid w:val="00206123"/>
    <w:rsid w:val="002259B2"/>
    <w:rsid w:val="002278C9"/>
    <w:rsid w:val="002639DC"/>
    <w:rsid w:val="00285295"/>
    <w:rsid w:val="00293E89"/>
    <w:rsid w:val="0032355C"/>
    <w:rsid w:val="00332C01"/>
    <w:rsid w:val="00334E94"/>
    <w:rsid w:val="00380D1A"/>
    <w:rsid w:val="003848FB"/>
    <w:rsid w:val="00394EF1"/>
    <w:rsid w:val="003A3036"/>
    <w:rsid w:val="003C0E5F"/>
    <w:rsid w:val="003D55F2"/>
    <w:rsid w:val="00425410"/>
    <w:rsid w:val="004B10E6"/>
    <w:rsid w:val="00505192"/>
    <w:rsid w:val="00544C5E"/>
    <w:rsid w:val="005902A3"/>
    <w:rsid w:val="00592638"/>
    <w:rsid w:val="005C5626"/>
    <w:rsid w:val="006D56ED"/>
    <w:rsid w:val="006E2CDE"/>
    <w:rsid w:val="00705ED2"/>
    <w:rsid w:val="00753737"/>
    <w:rsid w:val="00757608"/>
    <w:rsid w:val="0078711A"/>
    <w:rsid w:val="007A6F61"/>
    <w:rsid w:val="007E62E1"/>
    <w:rsid w:val="007E7669"/>
    <w:rsid w:val="007F05F7"/>
    <w:rsid w:val="008040DB"/>
    <w:rsid w:val="00821843"/>
    <w:rsid w:val="00846571"/>
    <w:rsid w:val="008468F1"/>
    <w:rsid w:val="008507AD"/>
    <w:rsid w:val="00853FCA"/>
    <w:rsid w:val="00895624"/>
    <w:rsid w:val="00895B26"/>
    <w:rsid w:val="008B0EA6"/>
    <w:rsid w:val="008F3C44"/>
    <w:rsid w:val="008F44CA"/>
    <w:rsid w:val="008F4DD6"/>
    <w:rsid w:val="00926C2E"/>
    <w:rsid w:val="0093294F"/>
    <w:rsid w:val="009A1286"/>
    <w:rsid w:val="009D2FE4"/>
    <w:rsid w:val="009F4A64"/>
    <w:rsid w:val="00A157B6"/>
    <w:rsid w:val="00A20870"/>
    <w:rsid w:val="00A222B9"/>
    <w:rsid w:val="00A50118"/>
    <w:rsid w:val="00A824D2"/>
    <w:rsid w:val="00AA31CE"/>
    <w:rsid w:val="00AE43AF"/>
    <w:rsid w:val="00AE5E4B"/>
    <w:rsid w:val="00B10BC7"/>
    <w:rsid w:val="00B33391"/>
    <w:rsid w:val="00B570B0"/>
    <w:rsid w:val="00B65F5C"/>
    <w:rsid w:val="00C009D1"/>
    <w:rsid w:val="00C419F7"/>
    <w:rsid w:val="00C53F47"/>
    <w:rsid w:val="00C54A45"/>
    <w:rsid w:val="00C719FA"/>
    <w:rsid w:val="00C95AF8"/>
    <w:rsid w:val="00C97E37"/>
    <w:rsid w:val="00D03294"/>
    <w:rsid w:val="00D45293"/>
    <w:rsid w:val="00D56BA9"/>
    <w:rsid w:val="00D616E1"/>
    <w:rsid w:val="00D7773A"/>
    <w:rsid w:val="00DB06C7"/>
    <w:rsid w:val="00DB430F"/>
    <w:rsid w:val="00DD5ACC"/>
    <w:rsid w:val="00E10DAE"/>
    <w:rsid w:val="00E26D9D"/>
    <w:rsid w:val="00E46A2A"/>
    <w:rsid w:val="00E5517E"/>
    <w:rsid w:val="00E71F78"/>
    <w:rsid w:val="00EA0D5F"/>
    <w:rsid w:val="00ED40AE"/>
    <w:rsid w:val="00ED4AB6"/>
    <w:rsid w:val="00EE4212"/>
    <w:rsid w:val="00EF4835"/>
    <w:rsid w:val="00F133DD"/>
    <w:rsid w:val="00F448A1"/>
    <w:rsid w:val="00F56268"/>
    <w:rsid w:val="00F836F1"/>
    <w:rsid w:val="00FD0919"/>
    <w:rsid w:val="00FD573F"/>
    <w:rsid w:val="00FE0E0A"/>
    <w:rsid w:val="00FE2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65E26"/>
  <w15:chartTrackingRefBased/>
  <w15:docId w15:val="{1A77EED0-091C-6041-B12A-0048719B9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A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A33"/>
    <w:pPr>
      <w:ind w:left="720"/>
      <w:contextualSpacing/>
    </w:pPr>
  </w:style>
  <w:style w:type="character" w:styleId="CommentReference">
    <w:name w:val="annotation reference"/>
    <w:basedOn w:val="DefaultParagraphFont"/>
    <w:uiPriority w:val="99"/>
    <w:semiHidden/>
    <w:unhideWhenUsed/>
    <w:rsid w:val="00FE2A33"/>
    <w:rPr>
      <w:sz w:val="16"/>
      <w:szCs w:val="16"/>
    </w:rPr>
  </w:style>
  <w:style w:type="paragraph" w:styleId="CommentText">
    <w:name w:val="annotation text"/>
    <w:basedOn w:val="Normal"/>
    <w:link w:val="CommentTextChar"/>
    <w:uiPriority w:val="99"/>
    <w:unhideWhenUsed/>
    <w:rsid w:val="00FE2A33"/>
    <w:rPr>
      <w:sz w:val="20"/>
      <w:szCs w:val="20"/>
    </w:rPr>
  </w:style>
  <w:style w:type="character" w:customStyle="1" w:styleId="CommentTextChar">
    <w:name w:val="Comment Text Char"/>
    <w:basedOn w:val="DefaultParagraphFont"/>
    <w:link w:val="CommentText"/>
    <w:uiPriority w:val="99"/>
    <w:rsid w:val="00FE2A33"/>
    <w:rPr>
      <w:sz w:val="20"/>
      <w:szCs w:val="20"/>
    </w:rPr>
  </w:style>
  <w:style w:type="paragraph" w:styleId="CommentSubject">
    <w:name w:val="annotation subject"/>
    <w:basedOn w:val="CommentText"/>
    <w:next w:val="CommentText"/>
    <w:link w:val="CommentSubjectChar"/>
    <w:uiPriority w:val="99"/>
    <w:semiHidden/>
    <w:unhideWhenUsed/>
    <w:rsid w:val="00FE2A33"/>
    <w:rPr>
      <w:b/>
      <w:bCs/>
    </w:rPr>
  </w:style>
  <w:style w:type="character" w:customStyle="1" w:styleId="CommentSubjectChar">
    <w:name w:val="Comment Subject Char"/>
    <w:basedOn w:val="CommentTextChar"/>
    <w:link w:val="CommentSubject"/>
    <w:uiPriority w:val="99"/>
    <w:semiHidden/>
    <w:rsid w:val="00FE2A33"/>
    <w:rPr>
      <w:b/>
      <w:bCs/>
      <w:sz w:val="20"/>
      <w:szCs w:val="20"/>
    </w:rPr>
  </w:style>
  <w:style w:type="paragraph" w:styleId="BalloonText">
    <w:name w:val="Balloon Text"/>
    <w:basedOn w:val="Normal"/>
    <w:link w:val="BalloonTextChar"/>
    <w:uiPriority w:val="99"/>
    <w:semiHidden/>
    <w:unhideWhenUsed/>
    <w:rsid w:val="00FE2A3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2A33"/>
    <w:rPr>
      <w:rFonts w:ascii="Segoe UI" w:hAnsi="Segoe UI" w:cs="Segoe UI"/>
      <w:sz w:val="18"/>
      <w:szCs w:val="18"/>
    </w:rPr>
  </w:style>
  <w:style w:type="character" w:styleId="Hyperlink">
    <w:name w:val="Hyperlink"/>
    <w:basedOn w:val="DefaultParagraphFont"/>
    <w:uiPriority w:val="99"/>
    <w:unhideWhenUsed/>
    <w:rsid w:val="00FE2A33"/>
    <w:rPr>
      <w:color w:val="0563C1" w:themeColor="hyperlink"/>
      <w:u w:val="single"/>
    </w:rPr>
  </w:style>
  <w:style w:type="paragraph" w:customStyle="1" w:styleId="Paragraph">
    <w:name w:val="Paragraph"/>
    <w:basedOn w:val="Normal"/>
    <w:link w:val="ParagraphChar"/>
    <w:rsid w:val="00FE2A33"/>
    <w:pPr>
      <w:spacing w:before="120"/>
      <w:ind w:firstLine="720"/>
    </w:pPr>
    <w:rPr>
      <w:rFonts w:ascii="Times New Roman" w:eastAsia="Times New Roman" w:hAnsi="Times New Roman" w:cs="Times New Roman"/>
    </w:rPr>
  </w:style>
  <w:style w:type="character" w:customStyle="1" w:styleId="ParagraphChar">
    <w:name w:val="Paragraph Char"/>
    <w:basedOn w:val="DefaultParagraphFont"/>
    <w:link w:val="Paragraph"/>
    <w:rsid w:val="00FE2A33"/>
    <w:rPr>
      <w:rFonts w:ascii="Times New Roman" w:eastAsia="Times New Roman" w:hAnsi="Times New Roman" w:cs="Times New Roman"/>
    </w:rPr>
  </w:style>
  <w:style w:type="character" w:customStyle="1" w:styleId="st">
    <w:name w:val="st"/>
    <w:basedOn w:val="DefaultParagraphFont"/>
    <w:rsid w:val="00FE2A33"/>
  </w:style>
  <w:style w:type="paragraph" w:customStyle="1" w:styleId="EndNoteBibliographyTitle">
    <w:name w:val="EndNote Bibliography Title"/>
    <w:basedOn w:val="Normal"/>
    <w:link w:val="EndNoteBibliographyTitleChar"/>
    <w:rsid w:val="00FE2A33"/>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FE2A33"/>
    <w:rPr>
      <w:rFonts w:ascii="Calibri" w:hAnsi="Calibri"/>
      <w:noProof/>
    </w:rPr>
  </w:style>
  <w:style w:type="paragraph" w:customStyle="1" w:styleId="EndNoteBibliography">
    <w:name w:val="EndNote Bibliography"/>
    <w:basedOn w:val="Normal"/>
    <w:link w:val="EndNoteBibliographyChar"/>
    <w:rsid w:val="00FE2A33"/>
    <w:rPr>
      <w:rFonts w:ascii="Calibri" w:hAnsi="Calibri"/>
      <w:noProof/>
    </w:rPr>
  </w:style>
  <w:style w:type="character" w:customStyle="1" w:styleId="EndNoteBibliographyChar">
    <w:name w:val="EndNote Bibliography Char"/>
    <w:basedOn w:val="DefaultParagraphFont"/>
    <w:link w:val="EndNoteBibliography"/>
    <w:rsid w:val="00FE2A33"/>
    <w:rPr>
      <w:rFonts w:ascii="Calibri" w:hAnsi="Calibri"/>
      <w:noProof/>
    </w:rPr>
  </w:style>
  <w:style w:type="paragraph" w:styleId="Revision">
    <w:name w:val="Revision"/>
    <w:hidden/>
    <w:uiPriority w:val="99"/>
    <w:semiHidden/>
    <w:rsid w:val="00FE2A33"/>
    <w:rPr>
      <w:sz w:val="22"/>
      <w:szCs w:val="22"/>
    </w:rPr>
  </w:style>
  <w:style w:type="paragraph" w:styleId="Caption">
    <w:name w:val="caption"/>
    <w:basedOn w:val="Normal"/>
    <w:next w:val="Normal"/>
    <w:uiPriority w:val="35"/>
    <w:unhideWhenUsed/>
    <w:qFormat/>
    <w:rsid w:val="00FE2A33"/>
    <w:pPr>
      <w:spacing w:after="200"/>
    </w:pPr>
    <w:rPr>
      <w:i/>
      <w:iCs/>
      <w:color w:val="44546A" w:themeColor="text2"/>
      <w:sz w:val="18"/>
      <w:szCs w:val="18"/>
    </w:rPr>
  </w:style>
  <w:style w:type="table" w:styleId="TableGrid">
    <w:name w:val="Table Grid"/>
    <w:basedOn w:val="TableNormal"/>
    <w:uiPriority w:val="39"/>
    <w:rsid w:val="00FE2A33"/>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2A33"/>
    <w:pPr>
      <w:tabs>
        <w:tab w:val="center" w:pos="4680"/>
        <w:tab w:val="right" w:pos="9360"/>
      </w:tabs>
    </w:pPr>
  </w:style>
  <w:style w:type="character" w:customStyle="1" w:styleId="HeaderChar">
    <w:name w:val="Header Char"/>
    <w:basedOn w:val="DefaultParagraphFont"/>
    <w:link w:val="Header"/>
    <w:uiPriority w:val="99"/>
    <w:rsid w:val="00FE2A33"/>
  </w:style>
  <w:style w:type="paragraph" w:styleId="Footer">
    <w:name w:val="footer"/>
    <w:basedOn w:val="Normal"/>
    <w:link w:val="FooterChar"/>
    <w:uiPriority w:val="99"/>
    <w:unhideWhenUsed/>
    <w:rsid w:val="00FE2A33"/>
    <w:pPr>
      <w:tabs>
        <w:tab w:val="center" w:pos="4680"/>
        <w:tab w:val="right" w:pos="9360"/>
      </w:tabs>
    </w:pPr>
  </w:style>
  <w:style w:type="character" w:customStyle="1" w:styleId="FooterChar">
    <w:name w:val="Footer Char"/>
    <w:basedOn w:val="DefaultParagraphFont"/>
    <w:link w:val="Footer"/>
    <w:uiPriority w:val="99"/>
    <w:rsid w:val="00FE2A33"/>
  </w:style>
  <w:style w:type="character" w:styleId="LineNumber">
    <w:name w:val="line number"/>
    <w:basedOn w:val="DefaultParagraphFont"/>
    <w:uiPriority w:val="99"/>
    <w:semiHidden/>
    <w:unhideWhenUsed/>
    <w:rsid w:val="00FE2A33"/>
  </w:style>
  <w:style w:type="paragraph" w:customStyle="1" w:styleId="NoSpacing1">
    <w:name w:val="No Spacing1"/>
    <w:uiPriority w:val="1"/>
    <w:qFormat/>
    <w:rsid w:val="00FE2A33"/>
    <w:rPr>
      <w:rFonts w:ascii="Cambria" w:eastAsia="Cambria" w:hAnsi="Cambria" w:cs="Times New Roman"/>
    </w:rPr>
  </w:style>
  <w:style w:type="paragraph" w:styleId="NoSpacing">
    <w:name w:val="No Spacing"/>
    <w:uiPriority w:val="1"/>
    <w:qFormat/>
    <w:rsid w:val="00FE2A33"/>
    <w:rPr>
      <w:sz w:val="22"/>
      <w:szCs w:val="22"/>
    </w:rPr>
  </w:style>
  <w:style w:type="character" w:customStyle="1" w:styleId="apple-converted-space">
    <w:name w:val="apple-converted-space"/>
    <w:basedOn w:val="DefaultParagraphFont"/>
    <w:rsid w:val="00FE2A33"/>
  </w:style>
  <w:style w:type="character" w:customStyle="1" w:styleId="aqj">
    <w:name w:val="aqj"/>
    <w:basedOn w:val="DefaultParagraphFont"/>
    <w:rsid w:val="00FE2A33"/>
  </w:style>
  <w:style w:type="character" w:customStyle="1" w:styleId="UnresolvedMention1">
    <w:name w:val="Unresolved Mention1"/>
    <w:basedOn w:val="DefaultParagraphFont"/>
    <w:uiPriority w:val="99"/>
    <w:semiHidden/>
    <w:unhideWhenUsed/>
    <w:rsid w:val="00FE2A33"/>
    <w:rPr>
      <w:color w:val="808080"/>
      <w:shd w:val="clear" w:color="auto" w:fill="E6E6E6"/>
    </w:rPr>
  </w:style>
  <w:style w:type="character" w:customStyle="1" w:styleId="UnresolvedMention2">
    <w:name w:val="Unresolved Mention2"/>
    <w:basedOn w:val="DefaultParagraphFont"/>
    <w:uiPriority w:val="99"/>
    <w:semiHidden/>
    <w:unhideWhenUsed/>
    <w:rsid w:val="00FE2A33"/>
    <w:rPr>
      <w:color w:val="605E5C"/>
      <w:shd w:val="clear" w:color="auto" w:fill="E1DFDD"/>
    </w:rPr>
  </w:style>
  <w:style w:type="paragraph" w:styleId="Bibliography">
    <w:name w:val="Bibliography"/>
    <w:basedOn w:val="Normal"/>
    <w:next w:val="Normal"/>
    <w:uiPriority w:val="37"/>
    <w:unhideWhenUsed/>
    <w:rsid w:val="00FE2A33"/>
    <w:pPr>
      <w:tabs>
        <w:tab w:val="left" w:pos="380"/>
      </w:tabs>
      <w:spacing w:line="480" w:lineRule="auto"/>
      <w:ind w:left="720" w:hanging="720"/>
    </w:pPr>
  </w:style>
  <w:style w:type="character" w:styleId="PlaceholderText">
    <w:name w:val="Placeholder Text"/>
    <w:basedOn w:val="DefaultParagraphFont"/>
    <w:uiPriority w:val="99"/>
    <w:semiHidden/>
    <w:rsid w:val="00FE2A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rinsauer10@gmail.com"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erinsauer10@gmail.com" TargetMode="External"/><Relationship Id="rId12" Type="http://schemas.openxmlformats.org/officeDocument/2006/relationships/hyperlink" Target="https://github.com/erinsauer/sex-biased-MG-transmission"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shley.love@uconn.edu" TargetMode="External"/><Relationship Id="rId5" Type="http://schemas.openxmlformats.org/officeDocument/2006/relationships/footnotes" Target="footnotes.xml"/><Relationship Id="rId15" Type="http://schemas.openxmlformats.org/officeDocument/2006/relationships/image" Target="media/image3.tiff"/><Relationship Id="rId10" Type="http://schemas.openxmlformats.org/officeDocument/2006/relationships/hyperlink" Target="mailto:wgperrin@uark.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connellychloe11@gmail.com"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28</Pages>
  <Words>26068</Words>
  <Characters>148590</Characters>
  <Application>Microsoft Office Word</Application>
  <DocSecurity>0</DocSecurity>
  <Lines>1238</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Sauer</dc:creator>
  <cp:keywords/>
  <dc:description/>
  <cp:lastModifiedBy>Erin Sauer</cp:lastModifiedBy>
  <cp:revision>4</cp:revision>
  <dcterms:created xsi:type="dcterms:W3CDTF">2023-09-26T19:15:00Z</dcterms:created>
  <dcterms:modified xsi:type="dcterms:W3CDTF">2023-09-26T20:14:00Z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id="iQUOv20U"/&gt;&lt;style id="http://www.zotero.org/styles/functional-ecology"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