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7D9FA" w14:textId="77777777" w:rsidR="00FB0BF3" w:rsidRDefault="00FB0BF3" w:rsidP="00FB0BF3">
      <w:pPr>
        <w:pStyle w:val="NormalWeb"/>
        <w:spacing w:before="0" w:beforeAutospacing="0" w:after="0" w:afterAutospacing="0"/>
        <w:jc w:val="center"/>
        <w:rPr>
          <w:rFonts w:ascii="Arial" w:hAnsi="Arial" w:cs="Arial"/>
          <w:sz w:val="22"/>
          <w:szCs w:val="22"/>
          <w:lang w:val="en-US"/>
        </w:rPr>
      </w:pPr>
      <w:r>
        <w:rPr>
          <w:rFonts w:ascii="Arial" w:hAnsi="Arial" w:cs="Arial"/>
          <w:b/>
          <w:bCs/>
          <w:sz w:val="22"/>
          <w:szCs w:val="22"/>
          <w:lang w:val="en-US"/>
        </w:rPr>
        <w:t>Investigating Latency to Immobility and IL-1 Receptor Blockade in Modulating Antidepressant Response in a Rodent Model of Postpartum Depression</w:t>
      </w:r>
    </w:p>
    <w:p w14:paraId="61320EBB" w14:textId="77777777" w:rsidR="00FB0BF3" w:rsidRDefault="00FB0BF3" w:rsidP="00FB0BF3">
      <w:pPr>
        <w:pStyle w:val="NormalWeb"/>
        <w:spacing w:before="0" w:beforeAutospacing="0" w:after="0" w:afterAutospacing="0"/>
        <w:jc w:val="both"/>
        <w:rPr>
          <w:rFonts w:ascii="Arial" w:hAnsi="Arial" w:cs="Arial"/>
          <w:color w:val="000000"/>
          <w:sz w:val="22"/>
          <w:szCs w:val="22"/>
          <w:lang w:val="en-US"/>
        </w:rPr>
      </w:pPr>
      <w:r>
        <w:rPr>
          <w:rFonts w:ascii="Arial" w:hAnsi="Arial" w:cs="Arial"/>
          <w:b/>
          <w:bCs/>
          <w:color w:val="000000"/>
          <w:sz w:val="22"/>
          <w:szCs w:val="22"/>
          <w:lang w:val="en-US"/>
        </w:rPr>
        <w:t> </w:t>
      </w:r>
    </w:p>
    <w:p w14:paraId="586BFDA4" w14:textId="77777777" w:rsidR="00FB0BF3" w:rsidRDefault="00FB0BF3" w:rsidP="00FB0BF3">
      <w:pPr>
        <w:pStyle w:val="NormalWeb"/>
        <w:spacing w:before="0" w:beforeAutospacing="0" w:after="0" w:afterAutospacing="0"/>
        <w:jc w:val="both"/>
        <w:rPr>
          <w:rFonts w:ascii="Arial" w:hAnsi="Arial" w:cs="Arial"/>
          <w:color w:val="000000"/>
          <w:sz w:val="22"/>
          <w:szCs w:val="22"/>
          <w:lang w:val="en-US"/>
        </w:rPr>
      </w:pPr>
      <w:r>
        <w:rPr>
          <w:rFonts w:ascii="Arial" w:hAnsi="Arial" w:cs="Arial"/>
          <w:b/>
          <w:bCs/>
          <w:color w:val="000000"/>
          <w:sz w:val="22"/>
          <w:szCs w:val="22"/>
          <w:lang w:val="en-US"/>
        </w:rPr>
        <w:t>Student: Erin Ricaloglu, Liisa Galea.</w:t>
      </w:r>
    </w:p>
    <w:p w14:paraId="41EE5106" w14:textId="77777777" w:rsidR="00FB0BF3" w:rsidRDefault="00FB0BF3" w:rsidP="00FB0BF3">
      <w:pPr>
        <w:pStyle w:val="NormalWeb"/>
        <w:spacing w:before="0" w:beforeAutospacing="0" w:after="0" w:afterAutospacing="0"/>
        <w:jc w:val="both"/>
        <w:rPr>
          <w:rFonts w:ascii="Arial" w:hAnsi="Arial" w:cs="Arial"/>
          <w:color w:val="000000"/>
          <w:sz w:val="22"/>
          <w:szCs w:val="22"/>
          <w:lang w:val="en-US"/>
        </w:rPr>
      </w:pPr>
      <w:r>
        <w:rPr>
          <w:rFonts w:ascii="Arial" w:hAnsi="Arial" w:cs="Arial"/>
          <w:b/>
          <w:bCs/>
          <w:color w:val="000000"/>
          <w:sz w:val="22"/>
          <w:szCs w:val="22"/>
          <w:lang w:val="en-US"/>
        </w:rPr>
        <w:t> </w:t>
      </w:r>
    </w:p>
    <w:p w14:paraId="6EA721DA" w14:textId="77777777" w:rsidR="00FB0BF3" w:rsidRDefault="00FB0BF3" w:rsidP="00FB0BF3">
      <w:pPr>
        <w:pStyle w:val="NormalWeb"/>
        <w:spacing w:before="0" w:beforeAutospacing="0" w:after="0" w:afterAutospacing="0"/>
        <w:jc w:val="both"/>
        <w:rPr>
          <w:rFonts w:ascii="Arial" w:hAnsi="Arial" w:cs="Arial"/>
          <w:color w:val="0E101A"/>
          <w:sz w:val="22"/>
          <w:szCs w:val="22"/>
        </w:rPr>
      </w:pPr>
      <w:r>
        <w:rPr>
          <w:rFonts w:ascii="Arial" w:hAnsi="Arial" w:cs="Arial"/>
          <w:b/>
          <w:bCs/>
          <w:color w:val="0E101A"/>
        </w:rPr>
        <w:t>Background</w:t>
      </w:r>
      <w:r>
        <w:rPr>
          <w:rFonts w:ascii="Arial" w:hAnsi="Arial" w:cs="Arial"/>
          <w:b/>
          <w:bCs/>
          <w:color w:val="0E101A"/>
          <w:sz w:val="22"/>
          <w:szCs w:val="22"/>
        </w:rPr>
        <w:t xml:space="preserve">: </w:t>
      </w:r>
      <w:r>
        <w:rPr>
          <w:rFonts w:ascii="Arial" w:hAnsi="Arial" w:cs="Arial"/>
          <w:color w:val="0E101A"/>
          <w:sz w:val="22"/>
          <w:szCs w:val="22"/>
        </w:rPr>
        <w:t xml:space="preserve">Postpartum depression (PPD) affects approximately 10–20% of new mothers and is linked to dysregulation of the HPA axis, increased proinflammatory signalling, and reduced neurogenesis in brain regions such as the hippocampus (Bloch et al., 2003; Gobinath et al., 2018). In rodents, chronic postpartum corticosterone (CORT) administration mimics PPD-like phenotypes, including reduced maternal behaviour and increased passive coping in the forced swim test (FST) and reduced neurogenesis (Qiu et al., 2020; Workman et al., 2016; </w:t>
      </w:r>
      <w:proofErr w:type="spellStart"/>
      <w:r>
        <w:rPr>
          <w:rFonts w:ascii="Arial" w:hAnsi="Arial" w:cs="Arial"/>
          <w:color w:val="0E101A"/>
          <w:sz w:val="22"/>
          <w:szCs w:val="22"/>
        </w:rPr>
        <w:t>Brummelte</w:t>
      </w:r>
      <w:proofErr w:type="spellEnd"/>
      <w:r>
        <w:rPr>
          <w:rFonts w:ascii="Arial" w:hAnsi="Arial" w:cs="Arial"/>
          <w:color w:val="0E101A"/>
          <w:sz w:val="22"/>
          <w:szCs w:val="22"/>
        </w:rPr>
        <w:t xml:space="preserve"> &amp; Galea, 2010). Although selective serotonin reuptake inhibitors (SSRIs) like fluoxetine (FLX) remain first-line treatments, they are often ineffective in PPD models (Qiu et al., 2020). High levels of proinflammatory cytokines, such as interleukin-1β reduce antidepressant efficacy (Syed et al., 2018; Qiu et al., 2020). Anakinra (KIN), an interleukin-1 receptor antagonist (Anderson et al.,2013), blocks the actions of IL-1β, thus it may be a viable target to enhance antidepressant efficacy. While traditional FST scoring emphasizes total immobility duration, measuring latency to immobility, or how quickly animals begin passive coping, may provide a more sensitive indicator of treatment efficacy.</w:t>
      </w:r>
    </w:p>
    <w:p w14:paraId="1CCA9DC3" w14:textId="77777777" w:rsidR="00FB0BF3" w:rsidRDefault="00FB0BF3" w:rsidP="00FB0BF3">
      <w:pPr>
        <w:pStyle w:val="NormalWeb"/>
        <w:spacing w:before="0" w:beforeAutospacing="0" w:after="0" w:afterAutospacing="0"/>
        <w:jc w:val="both"/>
        <w:rPr>
          <w:rFonts w:ascii="Arial" w:hAnsi="Arial" w:cs="Arial"/>
          <w:sz w:val="22"/>
          <w:szCs w:val="22"/>
        </w:rPr>
      </w:pPr>
      <w:r>
        <w:rPr>
          <w:rFonts w:ascii="Arial" w:hAnsi="Arial" w:cs="Arial"/>
          <w:sz w:val="22"/>
          <w:szCs w:val="22"/>
        </w:rPr>
        <w:t> </w:t>
      </w:r>
    </w:p>
    <w:p w14:paraId="2412F52B" w14:textId="77777777" w:rsidR="00FB0BF3" w:rsidRDefault="00FB0BF3" w:rsidP="00FB0BF3">
      <w:pPr>
        <w:pStyle w:val="NormalWeb"/>
        <w:spacing w:before="0" w:beforeAutospacing="0" w:after="0" w:afterAutospacing="0"/>
        <w:jc w:val="both"/>
        <w:rPr>
          <w:rFonts w:ascii="Arial" w:hAnsi="Arial" w:cs="Arial"/>
          <w:color w:val="0E101A"/>
          <w:sz w:val="22"/>
          <w:szCs w:val="22"/>
        </w:rPr>
      </w:pPr>
      <w:r>
        <w:rPr>
          <w:rFonts w:ascii="Arial" w:hAnsi="Arial" w:cs="Arial"/>
          <w:b/>
          <w:bCs/>
          <w:color w:val="0E101A"/>
        </w:rPr>
        <w:t>Hypothesis</w:t>
      </w:r>
      <w:r>
        <w:rPr>
          <w:rFonts w:ascii="Arial" w:hAnsi="Arial" w:cs="Arial"/>
          <w:b/>
          <w:bCs/>
          <w:color w:val="0E101A"/>
          <w:sz w:val="22"/>
          <w:szCs w:val="22"/>
        </w:rPr>
        <w:t xml:space="preserve">: </w:t>
      </w:r>
      <w:r>
        <w:rPr>
          <w:rFonts w:ascii="Arial" w:hAnsi="Arial" w:cs="Arial"/>
          <w:color w:val="0E101A"/>
          <w:sz w:val="22"/>
          <w:szCs w:val="22"/>
        </w:rPr>
        <w:t xml:space="preserve">We hypothesize that postpartum CORT treatment reduces latency to immobility in the FST. Treatment with FLX and KIN is expected to raise latency. </w:t>
      </w:r>
    </w:p>
    <w:p w14:paraId="0654365C" w14:textId="77777777" w:rsidR="00FB0BF3" w:rsidRDefault="00FB0BF3" w:rsidP="00FB0BF3">
      <w:pPr>
        <w:pStyle w:val="NormalWeb"/>
        <w:spacing w:before="0" w:beforeAutospacing="0" w:after="0" w:afterAutospacing="0"/>
        <w:jc w:val="both"/>
        <w:rPr>
          <w:rFonts w:ascii="Arial" w:hAnsi="Arial" w:cs="Arial"/>
          <w:color w:val="0E101A"/>
          <w:sz w:val="22"/>
          <w:szCs w:val="22"/>
        </w:rPr>
      </w:pPr>
      <w:r>
        <w:rPr>
          <w:rFonts w:ascii="Arial" w:hAnsi="Arial" w:cs="Arial"/>
          <w:b/>
          <w:bCs/>
          <w:color w:val="0E101A"/>
          <w:sz w:val="22"/>
          <w:szCs w:val="22"/>
        </w:rPr>
        <w:t> </w:t>
      </w:r>
    </w:p>
    <w:p w14:paraId="67B622B0" w14:textId="77777777" w:rsidR="00FB0BF3" w:rsidRDefault="00FB0BF3" w:rsidP="00FB0BF3">
      <w:pPr>
        <w:pStyle w:val="NormalWeb"/>
        <w:spacing w:before="0" w:beforeAutospacing="0" w:after="0" w:afterAutospacing="0"/>
        <w:jc w:val="both"/>
        <w:rPr>
          <w:rFonts w:ascii="Arial" w:hAnsi="Arial" w:cs="Arial"/>
          <w:color w:val="0E101A"/>
          <w:sz w:val="22"/>
          <w:szCs w:val="22"/>
        </w:rPr>
      </w:pPr>
      <w:r>
        <w:rPr>
          <w:rFonts w:ascii="Arial" w:hAnsi="Arial" w:cs="Arial"/>
          <w:b/>
          <w:bCs/>
          <w:color w:val="0E101A"/>
        </w:rPr>
        <w:t>Methods</w:t>
      </w:r>
      <w:r>
        <w:rPr>
          <w:rFonts w:ascii="Arial" w:hAnsi="Arial" w:cs="Arial"/>
          <w:b/>
          <w:bCs/>
          <w:color w:val="0E101A"/>
          <w:sz w:val="22"/>
          <w:szCs w:val="22"/>
        </w:rPr>
        <w:t xml:space="preserve">: </w:t>
      </w:r>
      <w:r>
        <w:rPr>
          <w:rFonts w:ascii="Arial" w:hAnsi="Arial" w:cs="Arial"/>
          <w:color w:val="0E101A"/>
          <w:sz w:val="22"/>
          <w:szCs w:val="22"/>
        </w:rPr>
        <w:t>Adult female rats were assigned to one of six groups combining postpartum injections of CORT or oil vehicle, FLX or dextrose (DXT), and KIN or saline. Injections occurred daily from PD2 to PD23, with KIN administration beginning on PD8. On PD22–23, animals underwent the FST. On PD22, rats completed a 15-minute pretest; on PD23, they completed a 5-minute test. All behaviours were video recorded and scored by blinded observers for swimming, climbing, immobility, and latency to immobility (first ≥1–2s of passive floating).</w:t>
      </w:r>
    </w:p>
    <w:p w14:paraId="515DADC7" w14:textId="77777777" w:rsidR="00FB0BF3" w:rsidRDefault="00FB0BF3" w:rsidP="00FB0BF3">
      <w:pPr>
        <w:pStyle w:val="NormalWeb"/>
        <w:spacing w:before="0" w:beforeAutospacing="0" w:after="0" w:afterAutospacing="0"/>
        <w:jc w:val="both"/>
        <w:rPr>
          <w:rFonts w:ascii="Arial" w:hAnsi="Arial" w:cs="Arial"/>
          <w:color w:val="0E101A"/>
          <w:sz w:val="22"/>
          <w:szCs w:val="22"/>
        </w:rPr>
      </w:pPr>
      <w:r>
        <w:rPr>
          <w:rFonts w:ascii="Arial" w:hAnsi="Arial" w:cs="Arial"/>
          <w:b/>
          <w:bCs/>
          <w:color w:val="0E101A"/>
          <w:sz w:val="22"/>
          <w:szCs w:val="22"/>
        </w:rPr>
        <w:t> </w:t>
      </w:r>
    </w:p>
    <w:p w14:paraId="11E07E18" w14:textId="77777777" w:rsidR="00FB0BF3" w:rsidRDefault="00FB0BF3" w:rsidP="00FB0BF3">
      <w:pPr>
        <w:pStyle w:val="NormalWeb"/>
        <w:spacing w:before="0" w:beforeAutospacing="0" w:after="0" w:afterAutospacing="0"/>
        <w:jc w:val="both"/>
        <w:rPr>
          <w:rFonts w:ascii="Arial" w:hAnsi="Arial" w:cs="Arial"/>
          <w:color w:val="0E101A"/>
          <w:sz w:val="22"/>
          <w:szCs w:val="22"/>
        </w:rPr>
      </w:pPr>
      <w:r>
        <w:rPr>
          <w:rFonts w:ascii="Arial" w:hAnsi="Arial" w:cs="Arial"/>
          <w:b/>
          <w:bCs/>
          <w:color w:val="0E101A"/>
        </w:rPr>
        <w:t>Results</w:t>
      </w:r>
      <w:r>
        <w:rPr>
          <w:rFonts w:ascii="Arial" w:hAnsi="Arial" w:cs="Arial"/>
          <w:b/>
          <w:bCs/>
          <w:color w:val="0E101A"/>
          <w:sz w:val="22"/>
          <w:szCs w:val="22"/>
        </w:rPr>
        <w:t xml:space="preserve">: </w:t>
      </w:r>
      <w:r>
        <w:rPr>
          <w:rFonts w:ascii="Arial" w:hAnsi="Arial" w:cs="Arial"/>
          <w:color w:val="0E101A"/>
          <w:sz w:val="22"/>
          <w:szCs w:val="22"/>
        </w:rPr>
        <w:t>Blinded behavioural scoring is underway; however, based on prior literature and the study design, we anticipate that CORT-treated dams will exhibit reduced latency to immobility, while FLX+KIN treatment may increase latency, reflecting a shift toward active coping. Formal statistical analyses will be conducted once scoring is complete to evaluate group differences.</w:t>
      </w:r>
    </w:p>
    <w:p w14:paraId="6C52072D" w14:textId="77777777" w:rsidR="00FB0BF3" w:rsidRDefault="00FB0BF3" w:rsidP="00FB0BF3">
      <w:pPr>
        <w:pStyle w:val="NormalWeb"/>
        <w:spacing w:before="0" w:beforeAutospacing="0" w:after="0" w:afterAutospacing="0"/>
        <w:jc w:val="both"/>
        <w:rPr>
          <w:rFonts w:ascii="Arial" w:hAnsi="Arial" w:cs="Arial"/>
          <w:color w:val="0E101A"/>
          <w:sz w:val="22"/>
          <w:szCs w:val="22"/>
        </w:rPr>
      </w:pPr>
      <w:r>
        <w:rPr>
          <w:rFonts w:ascii="Arial" w:hAnsi="Arial" w:cs="Arial"/>
          <w:b/>
          <w:bCs/>
          <w:color w:val="0E101A"/>
          <w:sz w:val="22"/>
          <w:szCs w:val="22"/>
        </w:rPr>
        <w:t> </w:t>
      </w:r>
    </w:p>
    <w:p w14:paraId="21EA4CD9" w14:textId="77777777" w:rsidR="00FB0BF3" w:rsidRDefault="00FB0BF3" w:rsidP="00FB0BF3">
      <w:pPr>
        <w:pStyle w:val="NormalWeb"/>
        <w:spacing w:before="0" w:beforeAutospacing="0" w:after="0" w:afterAutospacing="0"/>
        <w:jc w:val="both"/>
        <w:rPr>
          <w:rFonts w:ascii="Arial" w:hAnsi="Arial" w:cs="Arial"/>
          <w:color w:val="0E101A"/>
          <w:sz w:val="22"/>
          <w:szCs w:val="22"/>
        </w:rPr>
      </w:pPr>
      <w:r>
        <w:rPr>
          <w:rFonts w:ascii="Arial" w:hAnsi="Arial" w:cs="Arial"/>
          <w:b/>
          <w:bCs/>
          <w:color w:val="0E101A"/>
        </w:rPr>
        <w:t>Conclusion</w:t>
      </w:r>
      <w:r>
        <w:rPr>
          <w:rFonts w:ascii="Arial" w:hAnsi="Arial" w:cs="Arial"/>
          <w:b/>
          <w:bCs/>
          <w:color w:val="0E101A"/>
          <w:sz w:val="22"/>
          <w:szCs w:val="22"/>
        </w:rPr>
        <w:t xml:space="preserve">: </w:t>
      </w:r>
      <w:r>
        <w:rPr>
          <w:rFonts w:ascii="Arial" w:hAnsi="Arial" w:cs="Arial"/>
          <w:color w:val="0E101A"/>
          <w:sz w:val="22"/>
          <w:szCs w:val="22"/>
        </w:rPr>
        <w:t>Although complete analyses are pending, this study aims to establish latency to immobility as a sensitive indicator of antidepressant efficacy in postpartum depression models. Given the role of IL-1β in SSRI efficacy, co-treatment with anakinra and fluoxetine may offer a promising strategy to mitigate CORT-induced depressive-like behaviour. These findings may help inform the development of more effective, mechanism-based therapies for postpartum depression.</w:t>
      </w:r>
    </w:p>
    <w:p w14:paraId="781E867E" w14:textId="77777777" w:rsidR="004713AC" w:rsidRDefault="004713AC" w:rsidP="00FB0BF3">
      <w:pPr>
        <w:jc w:val="both"/>
      </w:pPr>
    </w:p>
    <w:sectPr w:rsidR="004713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F3"/>
    <w:rsid w:val="00017FE1"/>
    <w:rsid w:val="000341FB"/>
    <w:rsid w:val="000662C4"/>
    <w:rsid w:val="00084D32"/>
    <w:rsid w:val="00087471"/>
    <w:rsid w:val="00092CC5"/>
    <w:rsid w:val="000A10BD"/>
    <w:rsid w:val="000B0B49"/>
    <w:rsid w:val="000B37C0"/>
    <w:rsid w:val="000D1109"/>
    <w:rsid w:val="000D64D1"/>
    <w:rsid w:val="000F0F42"/>
    <w:rsid w:val="000F5B3C"/>
    <w:rsid w:val="000F5EBB"/>
    <w:rsid w:val="00102FE1"/>
    <w:rsid w:val="001125DD"/>
    <w:rsid w:val="00126824"/>
    <w:rsid w:val="00126BBD"/>
    <w:rsid w:val="001322BA"/>
    <w:rsid w:val="00135ABA"/>
    <w:rsid w:val="00136C76"/>
    <w:rsid w:val="001407E2"/>
    <w:rsid w:val="00150156"/>
    <w:rsid w:val="0016024B"/>
    <w:rsid w:val="001609AC"/>
    <w:rsid w:val="00160CDC"/>
    <w:rsid w:val="0016190B"/>
    <w:rsid w:val="0016497A"/>
    <w:rsid w:val="001676BE"/>
    <w:rsid w:val="0017340B"/>
    <w:rsid w:val="00174B28"/>
    <w:rsid w:val="0018068C"/>
    <w:rsid w:val="00184B5F"/>
    <w:rsid w:val="001929AF"/>
    <w:rsid w:val="001B0475"/>
    <w:rsid w:val="001F799F"/>
    <w:rsid w:val="00223174"/>
    <w:rsid w:val="002249F7"/>
    <w:rsid w:val="00253EF6"/>
    <w:rsid w:val="00265755"/>
    <w:rsid w:val="00283F1B"/>
    <w:rsid w:val="0028428D"/>
    <w:rsid w:val="0029282D"/>
    <w:rsid w:val="00292F95"/>
    <w:rsid w:val="002938FB"/>
    <w:rsid w:val="002978C9"/>
    <w:rsid w:val="002A34F0"/>
    <w:rsid w:val="002B0A3C"/>
    <w:rsid w:val="002B3869"/>
    <w:rsid w:val="002C2776"/>
    <w:rsid w:val="002C3475"/>
    <w:rsid w:val="002D0E8B"/>
    <w:rsid w:val="002D5687"/>
    <w:rsid w:val="002E5BD2"/>
    <w:rsid w:val="002F24AC"/>
    <w:rsid w:val="00301547"/>
    <w:rsid w:val="00306C78"/>
    <w:rsid w:val="003208A7"/>
    <w:rsid w:val="00334835"/>
    <w:rsid w:val="003402DA"/>
    <w:rsid w:val="003536AD"/>
    <w:rsid w:val="00366D58"/>
    <w:rsid w:val="00391AE6"/>
    <w:rsid w:val="003A0113"/>
    <w:rsid w:val="003A4532"/>
    <w:rsid w:val="003B2765"/>
    <w:rsid w:val="003B3151"/>
    <w:rsid w:val="003C0E70"/>
    <w:rsid w:val="003E43F3"/>
    <w:rsid w:val="00401509"/>
    <w:rsid w:val="00420812"/>
    <w:rsid w:val="00426035"/>
    <w:rsid w:val="00431E25"/>
    <w:rsid w:val="00433C40"/>
    <w:rsid w:val="004524D3"/>
    <w:rsid w:val="0046034A"/>
    <w:rsid w:val="00462EA2"/>
    <w:rsid w:val="004713AC"/>
    <w:rsid w:val="00481BAA"/>
    <w:rsid w:val="00482547"/>
    <w:rsid w:val="00482D60"/>
    <w:rsid w:val="00491B9F"/>
    <w:rsid w:val="0049451F"/>
    <w:rsid w:val="004950A6"/>
    <w:rsid w:val="004A7D1C"/>
    <w:rsid w:val="004D62F1"/>
    <w:rsid w:val="0050095A"/>
    <w:rsid w:val="00534F68"/>
    <w:rsid w:val="0055470F"/>
    <w:rsid w:val="005607D2"/>
    <w:rsid w:val="00584AF7"/>
    <w:rsid w:val="00590410"/>
    <w:rsid w:val="005A1AFC"/>
    <w:rsid w:val="005B63C0"/>
    <w:rsid w:val="005C3516"/>
    <w:rsid w:val="005E37C8"/>
    <w:rsid w:val="005E5DDE"/>
    <w:rsid w:val="005E7BC7"/>
    <w:rsid w:val="00633922"/>
    <w:rsid w:val="0063433B"/>
    <w:rsid w:val="006460ED"/>
    <w:rsid w:val="00662970"/>
    <w:rsid w:val="00663EE5"/>
    <w:rsid w:val="00684D6B"/>
    <w:rsid w:val="00684DFA"/>
    <w:rsid w:val="00685E33"/>
    <w:rsid w:val="006861C9"/>
    <w:rsid w:val="006938DD"/>
    <w:rsid w:val="006956BB"/>
    <w:rsid w:val="0069757D"/>
    <w:rsid w:val="006A47E9"/>
    <w:rsid w:val="006D26EF"/>
    <w:rsid w:val="006F21EC"/>
    <w:rsid w:val="00702842"/>
    <w:rsid w:val="00713AFE"/>
    <w:rsid w:val="007236FD"/>
    <w:rsid w:val="00736B7B"/>
    <w:rsid w:val="007A3322"/>
    <w:rsid w:val="007A582C"/>
    <w:rsid w:val="007B76E1"/>
    <w:rsid w:val="007D39E3"/>
    <w:rsid w:val="007E014C"/>
    <w:rsid w:val="007E0FB2"/>
    <w:rsid w:val="007E1748"/>
    <w:rsid w:val="008020E2"/>
    <w:rsid w:val="008040C4"/>
    <w:rsid w:val="00804221"/>
    <w:rsid w:val="0082218C"/>
    <w:rsid w:val="00826395"/>
    <w:rsid w:val="00846CD4"/>
    <w:rsid w:val="00846D6A"/>
    <w:rsid w:val="00861018"/>
    <w:rsid w:val="00871AA7"/>
    <w:rsid w:val="00886802"/>
    <w:rsid w:val="00891E10"/>
    <w:rsid w:val="008A7725"/>
    <w:rsid w:val="008B2EFC"/>
    <w:rsid w:val="008D403C"/>
    <w:rsid w:val="008E23DC"/>
    <w:rsid w:val="008E3CED"/>
    <w:rsid w:val="008E43F1"/>
    <w:rsid w:val="00914D25"/>
    <w:rsid w:val="00943720"/>
    <w:rsid w:val="00943D9A"/>
    <w:rsid w:val="00953C6A"/>
    <w:rsid w:val="00955D9C"/>
    <w:rsid w:val="00957BDF"/>
    <w:rsid w:val="0097272F"/>
    <w:rsid w:val="009757C7"/>
    <w:rsid w:val="009A685F"/>
    <w:rsid w:val="009B160D"/>
    <w:rsid w:val="009B2907"/>
    <w:rsid w:val="009B366D"/>
    <w:rsid w:val="009C0A39"/>
    <w:rsid w:val="009C1CFE"/>
    <w:rsid w:val="009C23A6"/>
    <w:rsid w:val="009D1F97"/>
    <w:rsid w:val="009E46D4"/>
    <w:rsid w:val="00A03AD8"/>
    <w:rsid w:val="00A04E5D"/>
    <w:rsid w:val="00A10D6A"/>
    <w:rsid w:val="00A17023"/>
    <w:rsid w:val="00A556AC"/>
    <w:rsid w:val="00A620D0"/>
    <w:rsid w:val="00A6581D"/>
    <w:rsid w:val="00A7707C"/>
    <w:rsid w:val="00A857DA"/>
    <w:rsid w:val="00A9454A"/>
    <w:rsid w:val="00AB343B"/>
    <w:rsid w:val="00AC0330"/>
    <w:rsid w:val="00AC4611"/>
    <w:rsid w:val="00AC59E9"/>
    <w:rsid w:val="00AC6590"/>
    <w:rsid w:val="00AD6B82"/>
    <w:rsid w:val="00AE1A94"/>
    <w:rsid w:val="00B14B96"/>
    <w:rsid w:val="00B168C2"/>
    <w:rsid w:val="00B32CEC"/>
    <w:rsid w:val="00B33C8A"/>
    <w:rsid w:val="00B60D1A"/>
    <w:rsid w:val="00B624D6"/>
    <w:rsid w:val="00B63530"/>
    <w:rsid w:val="00B64CD0"/>
    <w:rsid w:val="00B65C65"/>
    <w:rsid w:val="00B72E2D"/>
    <w:rsid w:val="00B82066"/>
    <w:rsid w:val="00BA1159"/>
    <w:rsid w:val="00BA727A"/>
    <w:rsid w:val="00BB7C55"/>
    <w:rsid w:val="00BB7CD9"/>
    <w:rsid w:val="00BC3CCE"/>
    <w:rsid w:val="00BD2F54"/>
    <w:rsid w:val="00BE12D8"/>
    <w:rsid w:val="00BE4459"/>
    <w:rsid w:val="00C228D3"/>
    <w:rsid w:val="00C22F6D"/>
    <w:rsid w:val="00C40647"/>
    <w:rsid w:val="00C43E50"/>
    <w:rsid w:val="00C44E0C"/>
    <w:rsid w:val="00C46186"/>
    <w:rsid w:val="00C51D8F"/>
    <w:rsid w:val="00C53FF3"/>
    <w:rsid w:val="00C57A95"/>
    <w:rsid w:val="00C677FA"/>
    <w:rsid w:val="00C716C8"/>
    <w:rsid w:val="00C71DAE"/>
    <w:rsid w:val="00C8390B"/>
    <w:rsid w:val="00C87F87"/>
    <w:rsid w:val="00C9737C"/>
    <w:rsid w:val="00D231B5"/>
    <w:rsid w:val="00D25A82"/>
    <w:rsid w:val="00D37512"/>
    <w:rsid w:val="00D41B9A"/>
    <w:rsid w:val="00D450E6"/>
    <w:rsid w:val="00D60771"/>
    <w:rsid w:val="00D65047"/>
    <w:rsid w:val="00D65D24"/>
    <w:rsid w:val="00D8482C"/>
    <w:rsid w:val="00D96415"/>
    <w:rsid w:val="00DA5D63"/>
    <w:rsid w:val="00DC500A"/>
    <w:rsid w:val="00DC6566"/>
    <w:rsid w:val="00DC7999"/>
    <w:rsid w:val="00DD53AE"/>
    <w:rsid w:val="00DF0BA4"/>
    <w:rsid w:val="00DF7B1B"/>
    <w:rsid w:val="00E07210"/>
    <w:rsid w:val="00E55080"/>
    <w:rsid w:val="00E66835"/>
    <w:rsid w:val="00E722D8"/>
    <w:rsid w:val="00EB77AD"/>
    <w:rsid w:val="00EC7E57"/>
    <w:rsid w:val="00ED028F"/>
    <w:rsid w:val="00ED6AC4"/>
    <w:rsid w:val="00ED73A3"/>
    <w:rsid w:val="00F0162B"/>
    <w:rsid w:val="00F1297D"/>
    <w:rsid w:val="00F2719C"/>
    <w:rsid w:val="00F30C5C"/>
    <w:rsid w:val="00F47F45"/>
    <w:rsid w:val="00F646FD"/>
    <w:rsid w:val="00F7495F"/>
    <w:rsid w:val="00F8329A"/>
    <w:rsid w:val="00F86308"/>
    <w:rsid w:val="00F92BB6"/>
    <w:rsid w:val="00FB0BF3"/>
    <w:rsid w:val="00FE6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A85F"/>
  <w15:chartTrackingRefBased/>
  <w15:docId w15:val="{328888DD-865F-824B-A118-BFB61FFB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2E5BD2"/>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FB0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B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B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B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B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BD2"/>
    <w:rPr>
      <w:rFonts w:asciiTheme="majorHAnsi" w:eastAsiaTheme="majorEastAsia" w:hAnsiTheme="majorHAnsi" w:cstheme="majorBidi"/>
      <w:color w:val="000000" w:themeColor="text1"/>
      <w:sz w:val="32"/>
      <w:szCs w:val="32"/>
    </w:rPr>
  </w:style>
  <w:style w:type="character" w:customStyle="1" w:styleId="Heading1Char">
    <w:name w:val="Heading 1 Char"/>
    <w:basedOn w:val="DefaultParagraphFont"/>
    <w:link w:val="Heading1"/>
    <w:uiPriority w:val="9"/>
    <w:rsid w:val="00FB0BF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FB0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BF3"/>
    <w:rPr>
      <w:rFonts w:eastAsiaTheme="majorEastAsia" w:cstheme="majorBidi"/>
      <w:color w:val="272727" w:themeColor="text1" w:themeTint="D8"/>
    </w:rPr>
  </w:style>
  <w:style w:type="paragraph" w:styleId="Title">
    <w:name w:val="Title"/>
    <w:basedOn w:val="Normal"/>
    <w:next w:val="Normal"/>
    <w:link w:val="TitleChar"/>
    <w:uiPriority w:val="10"/>
    <w:qFormat/>
    <w:rsid w:val="00FB0B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B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B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0BF3"/>
    <w:rPr>
      <w:i/>
      <w:iCs/>
      <w:color w:val="404040" w:themeColor="text1" w:themeTint="BF"/>
    </w:rPr>
  </w:style>
  <w:style w:type="paragraph" w:styleId="ListParagraph">
    <w:name w:val="List Paragraph"/>
    <w:basedOn w:val="Normal"/>
    <w:uiPriority w:val="34"/>
    <w:qFormat/>
    <w:rsid w:val="00FB0BF3"/>
    <w:pPr>
      <w:ind w:left="720"/>
      <w:contextualSpacing/>
    </w:pPr>
  </w:style>
  <w:style w:type="character" w:styleId="IntenseEmphasis">
    <w:name w:val="Intense Emphasis"/>
    <w:basedOn w:val="DefaultParagraphFont"/>
    <w:uiPriority w:val="21"/>
    <w:qFormat/>
    <w:rsid w:val="00FB0BF3"/>
    <w:rPr>
      <w:i/>
      <w:iCs/>
      <w:color w:val="0F4761" w:themeColor="accent1" w:themeShade="BF"/>
    </w:rPr>
  </w:style>
  <w:style w:type="paragraph" w:styleId="IntenseQuote">
    <w:name w:val="Intense Quote"/>
    <w:basedOn w:val="Normal"/>
    <w:next w:val="Normal"/>
    <w:link w:val="IntenseQuoteChar"/>
    <w:uiPriority w:val="30"/>
    <w:qFormat/>
    <w:rsid w:val="00FB0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BF3"/>
    <w:rPr>
      <w:i/>
      <w:iCs/>
      <w:color w:val="0F4761" w:themeColor="accent1" w:themeShade="BF"/>
    </w:rPr>
  </w:style>
  <w:style w:type="character" w:styleId="IntenseReference">
    <w:name w:val="Intense Reference"/>
    <w:basedOn w:val="DefaultParagraphFont"/>
    <w:uiPriority w:val="32"/>
    <w:qFormat/>
    <w:rsid w:val="00FB0BF3"/>
    <w:rPr>
      <w:b/>
      <w:bCs/>
      <w:smallCaps/>
      <w:color w:val="0F4761" w:themeColor="accent1" w:themeShade="BF"/>
      <w:spacing w:val="5"/>
    </w:rPr>
  </w:style>
  <w:style w:type="paragraph" w:styleId="NormalWeb">
    <w:name w:val="Normal (Web)"/>
    <w:basedOn w:val="Normal"/>
    <w:uiPriority w:val="99"/>
    <w:semiHidden/>
    <w:unhideWhenUsed/>
    <w:rsid w:val="00FB0BF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89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Ricaloglu</dc:creator>
  <cp:keywords/>
  <dc:description/>
  <cp:lastModifiedBy>Erin Ricaloglu</cp:lastModifiedBy>
  <cp:revision>2</cp:revision>
  <dcterms:created xsi:type="dcterms:W3CDTF">2025-08-06T14:01:00Z</dcterms:created>
  <dcterms:modified xsi:type="dcterms:W3CDTF">2025-08-06T14:01:00Z</dcterms:modified>
</cp:coreProperties>
</file>