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E7C" w:rsidRDefault="00535824">
      <w:pPr>
        <w:pStyle w:val="Title"/>
      </w:pPr>
      <w:r>
        <w:t>Allocating at-sea catch</w:t>
      </w:r>
    </w:p>
    <w:p w:rsidR="00BE1E7C" w:rsidRDefault="00535824">
      <w:pPr>
        <w:pStyle w:val="Author"/>
      </w:pPr>
      <w:r>
        <w:t>Erin Steiner</w:t>
      </w:r>
    </w:p>
    <w:p w:rsidR="00BE1E7C" w:rsidRDefault="00535824">
      <w:pPr>
        <w:pStyle w:val="Date"/>
      </w:pPr>
      <w:r>
        <w:t>7/31/2020</w:t>
      </w:r>
    </w:p>
    <w:p w:rsidR="00BE1E7C" w:rsidRDefault="00535824">
      <w:pPr>
        <w:pStyle w:val="FirstParagraph"/>
      </w:pPr>
      <w:r>
        <w:t>We were asked to provide proportions for allocating catch in the at-sea sector to individual states.</w:t>
      </w:r>
    </w:p>
    <w:p w:rsidR="00BE1E7C" w:rsidRDefault="00535824">
      <w:pPr>
        <w:pStyle w:val="BodyText"/>
      </w:pPr>
      <w:r>
        <w:t>The catcher-processor sector is straightforward because all vessels are based out of Washington (though they can catch fish in Oregon). The Mothership sector is more complicated because although the mothership vessels themselves are all based out of Washin</w:t>
      </w:r>
      <w:r>
        <w:t>gton, the catcher vessels that deliver to them are based out of Washington and Oregon. All catcher-processor catch is allocated to Washington, there are two methods for allocating mothership sector catch:</w:t>
      </w:r>
    </w:p>
    <w:p w:rsidR="00DD5E49" w:rsidRDefault="00535824">
      <w:pPr>
        <w:pStyle w:val="BodyText"/>
      </w:pPr>
      <w:r>
        <w:t>1.) Method 1: Allocate mothership catch by ratio of</w:t>
      </w:r>
      <w:r>
        <w:t xml:space="preserve"> landings weight by home port of catcher vessels </w:t>
      </w:r>
    </w:p>
    <w:p w:rsidR="00DD5E49" w:rsidRDefault="00DD5E49">
      <w:pPr>
        <w:pStyle w:val="BodyText"/>
      </w:pPr>
    </w:p>
    <w:p w:rsidR="00BE1E7C" w:rsidRDefault="00535824">
      <w:pPr>
        <w:pStyle w:val="BodyText"/>
      </w:pPr>
      <w:r>
        <w:t>2.) Method 2: Allocate mothership catch by ratio of total value (catcher vessel ex-vessel revenue + mothership production value)</w:t>
      </w:r>
    </w:p>
    <w:p w:rsidR="00BE1E7C" w:rsidRDefault="00535824">
      <w:pPr>
        <w:pStyle w:val="Heading1"/>
      </w:pPr>
      <w:bookmarkStart w:id="0" w:name="X5670a5c2b42ed315da04338a1ffb15dc942e1d7"/>
      <w:r>
        <w:t>METHOD 1: Mothership catch allocated to state based on the home port of catche</w:t>
      </w:r>
      <w:r>
        <w:t>r vessels landings to motherships.</w:t>
      </w:r>
      <w:bookmarkEnd w:id="0"/>
    </w:p>
    <w:p w:rsidR="00BE1E7C" w:rsidRDefault="00535824">
      <w:pPr>
        <w:pStyle w:val="TableCaption"/>
      </w:pPr>
      <w:r>
        <w:t>Total catch (lbs) and proportions by sector.</w:t>
      </w:r>
    </w:p>
    <w:tbl>
      <w:tblPr>
        <w:tblStyle w:val="Table"/>
        <w:tblW w:w="0" w:type="pct"/>
        <w:tblLook w:val="07E0" w:firstRow="1" w:lastRow="1" w:firstColumn="1" w:lastColumn="1" w:noHBand="1" w:noVBand="1"/>
        <w:tblCaption w:val="Total catch (lbs) and proportions by sector."/>
      </w:tblPr>
      <w:tblGrid>
        <w:gridCol w:w="790"/>
        <w:gridCol w:w="2542"/>
        <w:gridCol w:w="1661"/>
        <w:gridCol w:w="1025"/>
        <w:gridCol w:w="981"/>
      </w:tblGrid>
      <w:tr w:rsidR="00BE1E7C">
        <w:tc>
          <w:tcPr>
            <w:tcW w:w="0" w:type="auto"/>
            <w:tcBorders>
              <w:bottom w:val="single" w:sz="0" w:space="0" w:color="auto"/>
            </w:tcBorders>
            <w:vAlign w:val="bottom"/>
          </w:tcPr>
          <w:p w:rsidR="00BE1E7C" w:rsidRDefault="00535824">
            <w:pPr>
              <w:pStyle w:val="Compact"/>
            </w:pPr>
            <w:r>
              <w:t>YEAR</w:t>
            </w:r>
          </w:p>
        </w:tc>
        <w:tc>
          <w:tcPr>
            <w:tcW w:w="0" w:type="auto"/>
            <w:tcBorders>
              <w:bottom w:val="single" w:sz="0" w:space="0" w:color="auto"/>
            </w:tcBorders>
            <w:vAlign w:val="bottom"/>
          </w:tcPr>
          <w:p w:rsidR="00BE1E7C" w:rsidRDefault="00535824">
            <w:pPr>
              <w:pStyle w:val="Compact"/>
              <w:jc w:val="right"/>
            </w:pPr>
            <w:r>
              <w:t>CATCHER PROCESSOR</w:t>
            </w:r>
          </w:p>
        </w:tc>
        <w:tc>
          <w:tcPr>
            <w:tcW w:w="0" w:type="auto"/>
            <w:tcBorders>
              <w:bottom w:val="single" w:sz="0" w:space="0" w:color="auto"/>
            </w:tcBorders>
            <w:vAlign w:val="bottom"/>
          </w:tcPr>
          <w:p w:rsidR="00BE1E7C" w:rsidRDefault="00535824">
            <w:pPr>
              <w:pStyle w:val="Compact"/>
              <w:jc w:val="right"/>
            </w:pPr>
            <w:r>
              <w:t>MOTHERSHIP</w:t>
            </w:r>
          </w:p>
        </w:tc>
        <w:tc>
          <w:tcPr>
            <w:tcW w:w="0" w:type="auto"/>
            <w:tcBorders>
              <w:bottom w:val="single" w:sz="0" w:space="0" w:color="auto"/>
            </w:tcBorders>
            <w:vAlign w:val="bottom"/>
          </w:tcPr>
          <w:p w:rsidR="00BE1E7C" w:rsidRDefault="00535824">
            <w:pPr>
              <w:pStyle w:val="Compact"/>
              <w:jc w:val="right"/>
            </w:pPr>
            <w:r>
              <w:t>propMS</w:t>
            </w:r>
          </w:p>
        </w:tc>
        <w:tc>
          <w:tcPr>
            <w:tcW w:w="0" w:type="auto"/>
            <w:tcBorders>
              <w:bottom w:val="single" w:sz="0" w:space="0" w:color="auto"/>
            </w:tcBorders>
            <w:vAlign w:val="bottom"/>
          </w:tcPr>
          <w:p w:rsidR="00BE1E7C" w:rsidRDefault="00535824">
            <w:pPr>
              <w:pStyle w:val="Compact"/>
              <w:jc w:val="right"/>
            </w:pPr>
            <w:r>
              <w:t>propCP</w:t>
            </w:r>
          </w:p>
        </w:tc>
      </w:tr>
      <w:tr w:rsidR="00BE1E7C">
        <w:tc>
          <w:tcPr>
            <w:tcW w:w="0" w:type="auto"/>
          </w:tcPr>
          <w:p w:rsidR="00BE1E7C" w:rsidRDefault="00535824">
            <w:pPr>
              <w:pStyle w:val="Compact"/>
            </w:pPr>
            <w:r>
              <w:t>2014</w:t>
            </w:r>
          </w:p>
        </w:tc>
        <w:tc>
          <w:tcPr>
            <w:tcW w:w="0" w:type="auto"/>
          </w:tcPr>
          <w:p w:rsidR="00BE1E7C" w:rsidRDefault="00535824">
            <w:pPr>
              <w:pStyle w:val="Compact"/>
              <w:jc w:val="right"/>
            </w:pPr>
            <w:r>
              <w:t>227,880,895</w:t>
            </w:r>
          </w:p>
        </w:tc>
        <w:tc>
          <w:tcPr>
            <w:tcW w:w="0" w:type="auto"/>
          </w:tcPr>
          <w:p w:rsidR="00BE1E7C" w:rsidRDefault="00535824">
            <w:pPr>
              <w:pStyle w:val="Compact"/>
              <w:jc w:val="right"/>
            </w:pPr>
            <w:r>
              <w:t>136,608,689</w:t>
            </w:r>
          </w:p>
        </w:tc>
        <w:tc>
          <w:tcPr>
            <w:tcW w:w="0" w:type="auto"/>
          </w:tcPr>
          <w:p w:rsidR="00BE1E7C" w:rsidRDefault="00535824">
            <w:pPr>
              <w:pStyle w:val="Compact"/>
              <w:jc w:val="right"/>
            </w:pPr>
            <w:r>
              <w:t>0.37</w:t>
            </w:r>
          </w:p>
        </w:tc>
        <w:tc>
          <w:tcPr>
            <w:tcW w:w="0" w:type="auto"/>
          </w:tcPr>
          <w:p w:rsidR="00BE1E7C" w:rsidRDefault="00535824">
            <w:pPr>
              <w:pStyle w:val="Compact"/>
              <w:jc w:val="right"/>
            </w:pPr>
            <w:r>
              <w:t>0.63</w:t>
            </w:r>
          </w:p>
        </w:tc>
      </w:tr>
      <w:tr w:rsidR="00BE1E7C">
        <w:tc>
          <w:tcPr>
            <w:tcW w:w="0" w:type="auto"/>
          </w:tcPr>
          <w:p w:rsidR="00BE1E7C" w:rsidRDefault="00535824">
            <w:pPr>
              <w:pStyle w:val="Compact"/>
            </w:pPr>
            <w:r>
              <w:t>2015</w:t>
            </w:r>
          </w:p>
        </w:tc>
        <w:tc>
          <w:tcPr>
            <w:tcW w:w="0" w:type="auto"/>
          </w:tcPr>
          <w:p w:rsidR="00BE1E7C" w:rsidRDefault="00535824">
            <w:pPr>
              <w:pStyle w:val="Compact"/>
              <w:jc w:val="right"/>
            </w:pPr>
            <w:r>
              <w:t>151,655,456</w:t>
            </w:r>
          </w:p>
        </w:tc>
        <w:tc>
          <w:tcPr>
            <w:tcW w:w="0" w:type="auto"/>
          </w:tcPr>
          <w:p w:rsidR="00BE1E7C" w:rsidRDefault="00535824">
            <w:pPr>
              <w:pStyle w:val="Compact"/>
              <w:jc w:val="right"/>
            </w:pPr>
            <w:r>
              <w:t>60,907,906</w:t>
            </w:r>
          </w:p>
        </w:tc>
        <w:tc>
          <w:tcPr>
            <w:tcW w:w="0" w:type="auto"/>
          </w:tcPr>
          <w:p w:rsidR="00BE1E7C" w:rsidRDefault="00535824">
            <w:pPr>
              <w:pStyle w:val="Compact"/>
              <w:jc w:val="right"/>
            </w:pPr>
            <w:r>
              <w:t>0.29</w:t>
            </w:r>
          </w:p>
        </w:tc>
        <w:tc>
          <w:tcPr>
            <w:tcW w:w="0" w:type="auto"/>
          </w:tcPr>
          <w:p w:rsidR="00BE1E7C" w:rsidRDefault="00535824">
            <w:pPr>
              <w:pStyle w:val="Compact"/>
              <w:jc w:val="right"/>
            </w:pPr>
            <w:r>
              <w:t>0.71</w:t>
            </w:r>
          </w:p>
        </w:tc>
      </w:tr>
      <w:tr w:rsidR="00BE1E7C">
        <w:tc>
          <w:tcPr>
            <w:tcW w:w="0" w:type="auto"/>
          </w:tcPr>
          <w:p w:rsidR="00BE1E7C" w:rsidRDefault="00535824">
            <w:pPr>
              <w:pStyle w:val="Compact"/>
            </w:pPr>
            <w:r>
              <w:t>2016</w:t>
            </w:r>
          </w:p>
        </w:tc>
        <w:tc>
          <w:tcPr>
            <w:tcW w:w="0" w:type="auto"/>
          </w:tcPr>
          <w:p w:rsidR="00BE1E7C" w:rsidRDefault="00535824">
            <w:pPr>
              <w:pStyle w:val="Compact"/>
              <w:jc w:val="right"/>
            </w:pPr>
            <w:r>
              <w:t>241,068,833</w:t>
            </w:r>
          </w:p>
        </w:tc>
        <w:tc>
          <w:tcPr>
            <w:tcW w:w="0" w:type="auto"/>
          </w:tcPr>
          <w:p w:rsidR="00BE1E7C" w:rsidRDefault="00535824">
            <w:pPr>
              <w:pStyle w:val="Compact"/>
              <w:jc w:val="right"/>
            </w:pPr>
            <w:r>
              <w:t>142,657,707</w:t>
            </w:r>
          </w:p>
        </w:tc>
        <w:tc>
          <w:tcPr>
            <w:tcW w:w="0" w:type="auto"/>
          </w:tcPr>
          <w:p w:rsidR="00BE1E7C" w:rsidRDefault="00535824">
            <w:pPr>
              <w:pStyle w:val="Compact"/>
              <w:jc w:val="right"/>
            </w:pPr>
            <w:r>
              <w:t>0.37</w:t>
            </w:r>
          </w:p>
        </w:tc>
        <w:tc>
          <w:tcPr>
            <w:tcW w:w="0" w:type="auto"/>
          </w:tcPr>
          <w:p w:rsidR="00BE1E7C" w:rsidRDefault="00535824">
            <w:pPr>
              <w:pStyle w:val="Compact"/>
              <w:jc w:val="right"/>
            </w:pPr>
            <w:r>
              <w:t>0.63</w:t>
            </w:r>
          </w:p>
        </w:tc>
      </w:tr>
      <w:tr w:rsidR="00BE1E7C">
        <w:tc>
          <w:tcPr>
            <w:tcW w:w="0" w:type="auto"/>
          </w:tcPr>
          <w:p w:rsidR="00BE1E7C" w:rsidRDefault="00535824">
            <w:pPr>
              <w:pStyle w:val="Compact"/>
            </w:pPr>
            <w:r>
              <w:t>2017</w:t>
            </w:r>
          </w:p>
        </w:tc>
        <w:tc>
          <w:tcPr>
            <w:tcW w:w="0" w:type="auto"/>
          </w:tcPr>
          <w:p w:rsidR="00BE1E7C" w:rsidRDefault="00535824">
            <w:pPr>
              <w:pStyle w:val="Compact"/>
              <w:jc w:val="right"/>
            </w:pPr>
            <w:r>
              <w:t>304,619,319</w:t>
            </w:r>
          </w:p>
        </w:tc>
        <w:tc>
          <w:tcPr>
            <w:tcW w:w="0" w:type="auto"/>
          </w:tcPr>
          <w:p w:rsidR="00BE1E7C" w:rsidRDefault="00535824">
            <w:pPr>
              <w:pStyle w:val="Compact"/>
              <w:jc w:val="right"/>
            </w:pPr>
            <w:r>
              <w:t>145,299,922</w:t>
            </w:r>
          </w:p>
        </w:tc>
        <w:tc>
          <w:tcPr>
            <w:tcW w:w="0" w:type="auto"/>
          </w:tcPr>
          <w:p w:rsidR="00BE1E7C" w:rsidRDefault="00535824">
            <w:pPr>
              <w:pStyle w:val="Compact"/>
              <w:jc w:val="right"/>
            </w:pPr>
            <w:r>
              <w:t>0.32</w:t>
            </w:r>
          </w:p>
        </w:tc>
        <w:tc>
          <w:tcPr>
            <w:tcW w:w="0" w:type="auto"/>
          </w:tcPr>
          <w:p w:rsidR="00BE1E7C" w:rsidRDefault="00535824">
            <w:pPr>
              <w:pStyle w:val="Compact"/>
              <w:jc w:val="right"/>
            </w:pPr>
            <w:r>
              <w:t>0.68</w:t>
            </w:r>
          </w:p>
        </w:tc>
      </w:tr>
      <w:tr w:rsidR="00BE1E7C">
        <w:tc>
          <w:tcPr>
            <w:tcW w:w="0" w:type="auto"/>
          </w:tcPr>
          <w:p w:rsidR="00BE1E7C" w:rsidRDefault="00535824">
            <w:pPr>
              <w:pStyle w:val="Compact"/>
            </w:pPr>
            <w:r>
              <w:t>2018</w:t>
            </w:r>
          </w:p>
        </w:tc>
        <w:tc>
          <w:tcPr>
            <w:tcW w:w="0" w:type="auto"/>
          </w:tcPr>
          <w:p w:rsidR="00BE1E7C" w:rsidRDefault="00535824">
            <w:pPr>
              <w:pStyle w:val="Compact"/>
              <w:jc w:val="right"/>
            </w:pPr>
            <w:r>
              <w:t>258,137,320</w:t>
            </w:r>
          </w:p>
        </w:tc>
        <w:tc>
          <w:tcPr>
            <w:tcW w:w="0" w:type="auto"/>
          </w:tcPr>
          <w:p w:rsidR="00BE1E7C" w:rsidRDefault="00535824">
            <w:pPr>
              <w:pStyle w:val="Compact"/>
              <w:jc w:val="right"/>
            </w:pPr>
            <w:r>
              <w:t>146,211,003</w:t>
            </w:r>
          </w:p>
        </w:tc>
        <w:tc>
          <w:tcPr>
            <w:tcW w:w="0" w:type="auto"/>
          </w:tcPr>
          <w:p w:rsidR="00BE1E7C" w:rsidRDefault="00535824">
            <w:pPr>
              <w:pStyle w:val="Compact"/>
              <w:jc w:val="right"/>
            </w:pPr>
            <w:r>
              <w:t>0.36</w:t>
            </w:r>
          </w:p>
        </w:tc>
        <w:tc>
          <w:tcPr>
            <w:tcW w:w="0" w:type="auto"/>
          </w:tcPr>
          <w:p w:rsidR="00BE1E7C" w:rsidRDefault="00535824">
            <w:pPr>
              <w:pStyle w:val="Compact"/>
              <w:jc w:val="right"/>
            </w:pPr>
            <w:r>
              <w:t>0.64</w:t>
            </w:r>
          </w:p>
        </w:tc>
      </w:tr>
    </w:tbl>
    <w:p w:rsidR="00BE1E7C" w:rsidRDefault="00535824">
      <w:pPr>
        <w:pStyle w:val="TableCaption"/>
      </w:pPr>
      <w:r>
        <w:t>Total catch (lbs) and proportions by homeport state for mothership sector.</w:t>
      </w:r>
    </w:p>
    <w:tbl>
      <w:tblPr>
        <w:tblStyle w:val="Table"/>
        <w:tblW w:w="0" w:type="pct"/>
        <w:tblLook w:val="07E0" w:firstRow="1" w:lastRow="1" w:firstColumn="1" w:lastColumn="1" w:noHBand="1" w:noVBand="1"/>
        <w:tblCaption w:val="Total catch (lbs) and proportions by homeport state for mothership sector."/>
      </w:tblPr>
      <w:tblGrid>
        <w:gridCol w:w="790"/>
        <w:gridCol w:w="1378"/>
        <w:gridCol w:w="1378"/>
        <w:gridCol w:w="1081"/>
        <w:gridCol w:w="1016"/>
      </w:tblGrid>
      <w:tr w:rsidR="00BE1E7C">
        <w:tc>
          <w:tcPr>
            <w:tcW w:w="0" w:type="auto"/>
            <w:tcBorders>
              <w:bottom w:val="single" w:sz="0" w:space="0" w:color="auto"/>
            </w:tcBorders>
            <w:vAlign w:val="bottom"/>
          </w:tcPr>
          <w:p w:rsidR="00BE1E7C" w:rsidRDefault="00535824">
            <w:pPr>
              <w:pStyle w:val="Compact"/>
            </w:pPr>
            <w:r>
              <w:t>YEAR</w:t>
            </w:r>
          </w:p>
        </w:tc>
        <w:tc>
          <w:tcPr>
            <w:tcW w:w="0" w:type="auto"/>
            <w:tcBorders>
              <w:bottom w:val="single" w:sz="0" w:space="0" w:color="auto"/>
            </w:tcBorders>
            <w:vAlign w:val="bottom"/>
          </w:tcPr>
          <w:p w:rsidR="00BE1E7C" w:rsidRDefault="00535824">
            <w:pPr>
              <w:pStyle w:val="Compact"/>
              <w:jc w:val="right"/>
            </w:pPr>
            <w:r>
              <w:t>OR</w:t>
            </w:r>
          </w:p>
        </w:tc>
        <w:tc>
          <w:tcPr>
            <w:tcW w:w="0" w:type="auto"/>
            <w:tcBorders>
              <w:bottom w:val="single" w:sz="0" w:space="0" w:color="auto"/>
            </w:tcBorders>
            <w:vAlign w:val="bottom"/>
          </w:tcPr>
          <w:p w:rsidR="00BE1E7C" w:rsidRDefault="00535824">
            <w:pPr>
              <w:pStyle w:val="Compact"/>
              <w:jc w:val="right"/>
            </w:pPr>
            <w:r>
              <w:t>WA</w:t>
            </w:r>
          </w:p>
        </w:tc>
        <w:tc>
          <w:tcPr>
            <w:tcW w:w="0" w:type="auto"/>
            <w:tcBorders>
              <w:bottom w:val="single" w:sz="0" w:space="0" w:color="auto"/>
            </w:tcBorders>
            <w:vAlign w:val="bottom"/>
          </w:tcPr>
          <w:p w:rsidR="00BE1E7C" w:rsidRDefault="00535824">
            <w:pPr>
              <w:pStyle w:val="Compact"/>
              <w:jc w:val="right"/>
            </w:pPr>
            <w:r>
              <w:t>propWA</w:t>
            </w:r>
          </w:p>
        </w:tc>
        <w:tc>
          <w:tcPr>
            <w:tcW w:w="0" w:type="auto"/>
            <w:tcBorders>
              <w:bottom w:val="single" w:sz="0" w:space="0" w:color="auto"/>
            </w:tcBorders>
            <w:vAlign w:val="bottom"/>
          </w:tcPr>
          <w:p w:rsidR="00BE1E7C" w:rsidRDefault="00535824">
            <w:pPr>
              <w:pStyle w:val="Compact"/>
              <w:jc w:val="right"/>
            </w:pPr>
            <w:r>
              <w:t>propOR</w:t>
            </w:r>
          </w:p>
        </w:tc>
      </w:tr>
      <w:tr w:rsidR="00BE1E7C">
        <w:tc>
          <w:tcPr>
            <w:tcW w:w="0" w:type="auto"/>
          </w:tcPr>
          <w:p w:rsidR="00BE1E7C" w:rsidRDefault="00535824">
            <w:pPr>
              <w:pStyle w:val="Compact"/>
            </w:pPr>
            <w:r>
              <w:t>2014</w:t>
            </w:r>
          </w:p>
        </w:tc>
        <w:tc>
          <w:tcPr>
            <w:tcW w:w="0" w:type="auto"/>
          </w:tcPr>
          <w:p w:rsidR="00BE1E7C" w:rsidRDefault="00535824">
            <w:pPr>
              <w:pStyle w:val="Compact"/>
              <w:jc w:val="right"/>
            </w:pPr>
            <w:r>
              <w:t>59,552,788</w:t>
            </w:r>
          </w:p>
        </w:tc>
        <w:tc>
          <w:tcPr>
            <w:tcW w:w="0" w:type="auto"/>
          </w:tcPr>
          <w:p w:rsidR="00BE1E7C" w:rsidRDefault="00535824">
            <w:pPr>
              <w:pStyle w:val="Compact"/>
              <w:jc w:val="right"/>
            </w:pPr>
            <w:r>
              <w:t>77,055,902</w:t>
            </w:r>
          </w:p>
        </w:tc>
        <w:tc>
          <w:tcPr>
            <w:tcW w:w="0" w:type="auto"/>
          </w:tcPr>
          <w:p w:rsidR="00BE1E7C" w:rsidRDefault="00535824">
            <w:pPr>
              <w:pStyle w:val="Compact"/>
              <w:jc w:val="right"/>
            </w:pPr>
            <w:r>
              <w:t>0.56</w:t>
            </w:r>
          </w:p>
        </w:tc>
        <w:tc>
          <w:tcPr>
            <w:tcW w:w="0" w:type="auto"/>
          </w:tcPr>
          <w:p w:rsidR="00BE1E7C" w:rsidRDefault="00535824">
            <w:pPr>
              <w:pStyle w:val="Compact"/>
              <w:jc w:val="right"/>
            </w:pPr>
            <w:r>
              <w:t>0.44</w:t>
            </w:r>
          </w:p>
        </w:tc>
      </w:tr>
      <w:tr w:rsidR="00BE1E7C">
        <w:tc>
          <w:tcPr>
            <w:tcW w:w="0" w:type="auto"/>
          </w:tcPr>
          <w:p w:rsidR="00BE1E7C" w:rsidRDefault="00535824">
            <w:pPr>
              <w:pStyle w:val="Compact"/>
            </w:pPr>
            <w:r>
              <w:t>2015</w:t>
            </w:r>
          </w:p>
        </w:tc>
        <w:tc>
          <w:tcPr>
            <w:tcW w:w="0" w:type="auto"/>
          </w:tcPr>
          <w:p w:rsidR="00BE1E7C" w:rsidRDefault="00535824">
            <w:pPr>
              <w:pStyle w:val="Compact"/>
              <w:jc w:val="right"/>
            </w:pPr>
            <w:r>
              <w:t>38,232,183</w:t>
            </w:r>
          </w:p>
        </w:tc>
        <w:tc>
          <w:tcPr>
            <w:tcW w:w="0" w:type="auto"/>
          </w:tcPr>
          <w:p w:rsidR="00BE1E7C" w:rsidRDefault="00535824">
            <w:pPr>
              <w:pStyle w:val="Compact"/>
              <w:jc w:val="right"/>
            </w:pPr>
            <w:r>
              <w:t>22,675,723</w:t>
            </w:r>
          </w:p>
        </w:tc>
        <w:tc>
          <w:tcPr>
            <w:tcW w:w="0" w:type="auto"/>
          </w:tcPr>
          <w:p w:rsidR="00BE1E7C" w:rsidRDefault="00535824">
            <w:pPr>
              <w:pStyle w:val="Compact"/>
              <w:jc w:val="right"/>
            </w:pPr>
            <w:r>
              <w:t>0.37</w:t>
            </w:r>
          </w:p>
        </w:tc>
        <w:tc>
          <w:tcPr>
            <w:tcW w:w="0" w:type="auto"/>
          </w:tcPr>
          <w:p w:rsidR="00BE1E7C" w:rsidRDefault="00535824">
            <w:pPr>
              <w:pStyle w:val="Compact"/>
              <w:jc w:val="right"/>
            </w:pPr>
            <w:r>
              <w:t>0.63</w:t>
            </w:r>
          </w:p>
        </w:tc>
      </w:tr>
      <w:tr w:rsidR="00BE1E7C">
        <w:tc>
          <w:tcPr>
            <w:tcW w:w="0" w:type="auto"/>
          </w:tcPr>
          <w:p w:rsidR="00BE1E7C" w:rsidRDefault="00535824">
            <w:pPr>
              <w:pStyle w:val="Compact"/>
            </w:pPr>
            <w:r>
              <w:t>2016</w:t>
            </w:r>
          </w:p>
        </w:tc>
        <w:tc>
          <w:tcPr>
            <w:tcW w:w="0" w:type="auto"/>
          </w:tcPr>
          <w:p w:rsidR="00BE1E7C" w:rsidRDefault="00535824">
            <w:pPr>
              <w:pStyle w:val="Compact"/>
              <w:jc w:val="right"/>
            </w:pPr>
            <w:r>
              <w:t>68,335,609</w:t>
            </w:r>
          </w:p>
        </w:tc>
        <w:tc>
          <w:tcPr>
            <w:tcW w:w="0" w:type="auto"/>
          </w:tcPr>
          <w:p w:rsidR="00BE1E7C" w:rsidRDefault="00535824">
            <w:pPr>
              <w:pStyle w:val="Compact"/>
              <w:jc w:val="right"/>
            </w:pPr>
            <w:r>
              <w:t>74,322,097</w:t>
            </w:r>
          </w:p>
        </w:tc>
        <w:tc>
          <w:tcPr>
            <w:tcW w:w="0" w:type="auto"/>
          </w:tcPr>
          <w:p w:rsidR="00BE1E7C" w:rsidRDefault="00535824">
            <w:pPr>
              <w:pStyle w:val="Compact"/>
              <w:jc w:val="right"/>
            </w:pPr>
            <w:r>
              <w:t>0.52</w:t>
            </w:r>
          </w:p>
        </w:tc>
        <w:tc>
          <w:tcPr>
            <w:tcW w:w="0" w:type="auto"/>
          </w:tcPr>
          <w:p w:rsidR="00BE1E7C" w:rsidRDefault="00535824">
            <w:pPr>
              <w:pStyle w:val="Compact"/>
              <w:jc w:val="right"/>
            </w:pPr>
            <w:r>
              <w:t>0.48</w:t>
            </w:r>
          </w:p>
        </w:tc>
      </w:tr>
      <w:tr w:rsidR="00BE1E7C">
        <w:tc>
          <w:tcPr>
            <w:tcW w:w="0" w:type="auto"/>
          </w:tcPr>
          <w:p w:rsidR="00BE1E7C" w:rsidRDefault="00535824">
            <w:pPr>
              <w:pStyle w:val="Compact"/>
            </w:pPr>
            <w:r>
              <w:t>2017</w:t>
            </w:r>
          </w:p>
        </w:tc>
        <w:tc>
          <w:tcPr>
            <w:tcW w:w="0" w:type="auto"/>
          </w:tcPr>
          <w:p w:rsidR="00BE1E7C" w:rsidRDefault="00535824">
            <w:pPr>
              <w:pStyle w:val="Compact"/>
              <w:jc w:val="right"/>
            </w:pPr>
            <w:r>
              <w:t>67,460,041</w:t>
            </w:r>
          </w:p>
        </w:tc>
        <w:tc>
          <w:tcPr>
            <w:tcW w:w="0" w:type="auto"/>
          </w:tcPr>
          <w:p w:rsidR="00BE1E7C" w:rsidRDefault="00535824">
            <w:pPr>
              <w:pStyle w:val="Compact"/>
              <w:jc w:val="right"/>
            </w:pPr>
            <w:r>
              <w:t>77,839,881</w:t>
            </w:r>
          </w:p>
        </w:tc>
        <w:tc>
          <w:tcPr>
            <w:tcW w:w="0" w:type="auto"/>
          </w:tcPr>
          <w:p w:rsidR="00BE1E7C" w:rsidRDefault="00535824">
            <w:pPr>
              <w:pStyle w:val="Compact"/>
              <w:jc w:val="right"/>
            </w:pPr>
            <w:r>
              <w:t>0.54</w:t>
            </w:r>
          </w:p>
        </w:tc>
        <w:tc>
          <w:tcPr>
            <w:tcW w:w="0" w:type="auto"/>
          </w:tcPr>
          <w:p w:rsidR="00BE1E7C" w:rsidRDefault="00535824">
            <w:pPr>
              <w:pStyle w:val="Compact"/>
              <w:jc w:val="right"/>
            </w:pPr>
            <w:r>
              <w:t>0.46</w:t>
            </w:r>
          </w:p>
        </w:tc>
      </w:tr>
      <w:tr w:rsidR="00BE1E7C">
        <w:tc>
          <w:tcPr>
            <w:tcW w:w="0" w:type="auto"/>
          </w:tcPr>
          <w:p w:rsidR="00BE1E7C" w:rsidRDefault="00535824">
            <w:pPr>
              <w:pStyle w:val="Compact"/>
            </w:pPr>
            <w:r>
              <w:t>2018</w:t>
            </w:r>
          </w:p>
        </w:tc>
        <w:tc>
          <w:tcPr>
            <w:tcW w:w="0" w:type="auto"/>
          </w:tcPr>
          <w:p w:rsidR="00BE1E7C" w:rsidRDefault="00535824">
            <w:pPr>
              <w:pStyle w:val="Compact"/>
              <w:jc w:val="right"/>
            </w:pPr>
            <w:r>
              <w:t>64,775,898</w:t>
            </w:r>
          </w:p>
        </w:tc>
        <w:tc>
          <w:tcPr>
            <w:tcW w:w="0" w:type="auto"/>
          </w:tcPr>
          <w:p w:rsidR="00BE1E7C" w:rsidRDefault="00535824">
            <w:pPr>
              <w:pStyle w:val="Compact"/>
              <w:jc w:val="right"/>
            </w:pPr>
            <w:r>
              <w:t>81,435,106</w:t>
            </w:r>
          </w:p>
        </w:tc>
        <w:tc>
          <w:tcPr>
            <w:tcW w:w="0" w:type="auto"/>
          </w:tcPr>
          <w:p w:rsidR="00BE1E7C" w:rsidRDefault="00535824">
            <w:pPr>
              <w:pStyle w:val="Compact"/>
              <w:jc w:val="right"/>
            </w:pPr>
            <w:r>
              <w:t>0.56</w:t>
            </w:r>
          </w:p>
        </w:tc>
        <w:tc>
          <w:tcPr>
            <w:tcW w:w="0" w:type="auto"/>
          </w:tcPr>
          <w:p w:rsidR="00BE1E7C" w:rsidRDefault="00535824">
            <w:pPr>
              <w:pStyle w:val="Compact"/>
              <w:jc w:val="right"/>
            </w:pPr>
            <w:r>
              <w:t>0.44</w:t>
            </w:r>
          </w:p>
        </w:tc>
      </w:tr>
    </w:tbl>
    <w:p w:rsidR="00BE1E7C" w:rsidRDefault="00535824">
      <w:pPr>
        <w:pStyle w:val="TableCaption"/>
      </w:pPr>
      <w:r>
        <w:lastRenderedPageBreak/>
        <w:t>METHOD 1: Total catch (lbs) and proportions by state (MS catch allocated by catcher vessel homeport) for entire at-sea sector (catcher processors and mothership).</w:t>
      </w:r>
    </w:p>
    <w:tbl>
      <w:tblPr>
        <w:tblStyle w:val="Table"/>
        <w:tblW w:w="0" w:type="pct"/>
        <w:tblLook w:val="07E0" w:firstRow="1" w:lastRow="1" w:firstColumn="1" w:lastColumn="1" w:noHBand="1" w:noVBand="1"/>
        <w:tblCaption w:val="METHOD 1: Total catch (lbs) and proportions by state (MS catch allocated by catcher vessel homeport) for entire at-sea sector (catcher processors and mothership)."/>
      </w:tblPr>
      <w:tblGrid>
        <w:gridCol w:w="790"/>
        <w:gridCol w:w="1378"/>
        <w:gridCol w:w="1511"/>
        <w:gridCol w:w="1081"/>
        <w:gridCol w:w="1016"/>
      </w:tblGrid>
      <w:tr w:rsidR="00BE1E7C">
        <w:tc>
          <w:tcPr>
            <w:tcW w:w="0" w:type="auto"/>
            <w:tcBorders>
              <w:bottom w:val="single" w:sz="0" w:space="0" w:color="auto"/>
            </w:tcBorders>
            <w:vAlign w:val="bottom"/>
          </w:tcPr>
          <w:p w:rsidR="00BE1E7C" w:rsidRDefault="00535824">
            <w:pPr>
              <w:pStyle w:val="Compact"/>
            </w:pPr>
            <w:r>
              <w:t>YEAR</w:t>
            </w:r>
          </w:p>
        </w:tc>
        <w:tc>
          <w:tcPr>
            <w:tcW w:w="0" w:type="auto"/>
            <w:tcBorders>
              <w:bottom w:val="single" w:sz="0" w:space="0" w:color="auto"/>
            </w:tcBorders>
            <w:vAlign w:val="bottom"/>
          </w:tcPr>
          <w:p w:rsidR="00BE1E7C" w:rsidRDefault="00535824">
            <w:pPr>
              <w:pStyle w:val="Compact"/>
              <w:jc w:val="right"/>
            </w:pPr>
            <w:r>
              <w:t>OR</w:t>
            </w:r>
          </w:p>
        </w:tc>
        <w:tc>
          <w:tcPr>
            <w:tcW w:w="0" w:type="auto"/>
            <w:tcBorders>
              <w:bottom w:val="single" w:sz="0" w:space="0" w:color="auto"/>
            </w:tcBorders>
            <w:vAlign w:val="bottom"/>
          </w:tcPr>
          <w:p w:rsidR="00BE1E7C" w:rsidRDefault="00535824">
            <w:pPr>
              <w:pStyle w:val="Compact"/>
              <w:jc w:val="right"/>
            </w:pPr>
            <w:r>
              <w:t>WA</w:t>
            </w:r>
          </w:p>
        </w:tc>
        <w:tc>
          <w:tcPr>
            <w:tcW w:w="0" w:type="auto"/>
            <w:tcBorders>
              <w:bottom w:val="single" w:sz="0" w:space="0" w:color="auto"/>
            </w:tcBorders>
            <w:vAlign w:val="bottom"/>
          </w:tcPr>
          <w:p w:rsidR="00BE1E7C" w:rsidRDefault="00535824">
            <w:pPr>
              <w:pStyle w:val="Compact"/>
              <w:jc w:val="right"/>
            </w:pPr>
            <w:r>
              <w:t>propWA</w:t>
            </w:r>
          </w:p>
        </w:tc>
        <w:tc>
          <w:tcPr>
            <w:tcW w:w="0" w:type="auto"/>
            <w:tcBorders>
              <w:bottom w:val="single" w:sz="0" w:space="0" w:color="auto"/>
            </w:tcBorders>
            <w:vAlign w:val="bottom"/>
          </w:tcPr>
          <w:p w:rsidR="00BE1E7C" w:rsidRDefault="00535824">
            <w:pPr>
              <w:pStyle w:val="Compact"/>
              <w:jc w:val="right"/>
            </w:pPr>
            <w:r>
              <w:t>propOR</w:t>
            </w:r>
          </w:p>
        </w:tc>
      </w:tr>
      <w:tr w:rsidR="00BE1E7C">
        <w:tc>
          <w:tcPr>
            <w:tcW w:w="0" w:type="auto"/>
          </w:tcPr>
          <w:p w:rsidR="00BE1E7C" w:rsidRDefault="00535824">
            <w:pPr>
              <w:pStyle w:val="Compact"/>
            </w:pPr>
            <w:r>
              <w:t>2014</w:t>
            </w:r>
          </w:p>
        </w:tc>
        <w:tc>
          <w:tcPr>
            <w:tcW w:w="0" w:type="auto"/>
          </w:tcPr>
          <w:p w:rsidR="00BE1E7C" w:rsidRDefault="00535824">
            <w:pPr>
              <w:pStyle w:val="Compact"/>
              <w:jc w:val="right"/>
            </w:pPr>
            <w:r>
              <w:t>59,552,788</w:t>
            </w:r>
          </w:p>
        </w:tc>
        <w:tc>
          <w:tcPr>
            <w:tcW w:w="0" w:type="auto"/>
          </w:tcPr>
          <w:p w:rsidR="00BE1E7C" w:rsidRDefault="00535824">
            <w:pPr>
              <w:pStyle w:val="Compact"/>
              <w:jc w:val="right"/>
            </w:pPr>
            <w:r>
              <w:t>304,936,797</w:t>
            </w:r>
          </w:p>
        </w:tc>
        <w:tc>
          <w:tcPr>
            <w:tcW w:w="0" w:type="auto"/>
          </w:tcPr>
          <w:p w:rsidR="00BE1E7C" w:rsidRDefault="00535824">
            <w:pPr>
              <w:pStyle w:val="Compact"/>
              <w:jc w:val="right"/>
            </w:pPr>
            <w:r>
              <w:t>0.84</w:t>
            </w:r>
          </w:p>
        </w:tc>
        <w:tc>
          <w:tcPr>
            <w:tcW w:w="0" w:type="auto"/>
          </w:tcPr>
          <w:p w:rsidR="00BE1E7C" w:rsidRDefault="00535824">
            <w:pPr>
              <w:pStyle w:val="Compact"/>
              <w:jc w:val="right"/>
            </w:pPr>
            <w:r>
              <w:t>0.16</w:t>
            </w:r>
          </w:p>
        </w:tc>
      </w:tr>
      <w:tr w:rsidR="00BE1E7C">
        <w:tc>
          <w:tcPr>
            <w:tcW w:w="0" w:type="auto"/>
          </w:tcPr>
          <w:p w:rsidR="00BE1E7C" w:rsidRDefault="00535824">
            <w:pPr>
              <w:pStyle w:val="Compact"/>
            </w:pPr>
            <w:r>
              <w:t>2015</w:t>
            </w:r>
          </w:p>
        </w:tc>
        <w:tc>
          <w:tcPr>
            <w:tcW w:w="0" w:type="auto"/>
          </w:tcPr>
          <w:p w:rsidR="00BE1E7C" w:rsidRDefault="00535824">
            <w:pPr>
              <w:pStyle w:val="Compact"/>
              <w:jc w:val="right"/>
            </w:pPr>
            <w:r>
              <w:t>38,232,183</w:t>
            </w:r>
          </w:p>
        </w:tc>
        <w:tc>
          <w:tcPr>
            <w:tcW w:w="0" w:type="auto"/>
          </w:tcPr>
          <w:p w:rsidR="00BE1E7C" w:rsidRDefault="00535824">
            <w:pPr>
              <w:pStyle w:val="Compact"/>
              <w:jc w:val="right"/>
            </w:pPr>
            <w:r>
              <w:t>174,331,179</w:t>
            </w:r>
          </w:p>
        </w:tc>
        <w:tc>
          <w:tcPr>
            <w:tcW w:w="0" w:type="auto"/>
          </w:tcPr>
          <w:p w:rsidR="00BE1E7C" w:rsidRDefault="00535824">
            <w:pPr>
              <w:pStyle w:val="Compact"/>
              <w:jc w:val="right"/>
            </w:pPr>
            <w:r>
              <w:t>0.82</w:t>
            </w:r>
          </w:p>
        </w:tc>
        <w:tc>
          <w:tcPr>
            <w:tcW w:w="0" w:type="auto"/>
          </w:tcPr>
          <w:p w:rsidR="00BE1E7C" w:rsidRDefault="00535824">
            <w:pPr>
              <w:pStyle w:val="Compact"/>
              <w:jc w:val="right"/>
            </w:pPr>
            <w:r>
              <w:t>0.18</w:t>
            </w:r>
          </w:p>
        </w:tc>
      </w:tr>
      <w:tr w:rsidR="00BE1E7C">
        <w:tc>
          <w:tcPr>
            <w:tcW w:w="0" w:type="auto"/>
          </w:tcPr>
          <w:p w:rsidR="00BE1E7C" w:rsidRDefault="00535824">
            <w:pPr>
              <w:pStyle w:val="Compact"/>
            </w:pPr>
            <w:r>
              <w:t>2016</w:t>
            </w:r>
          </w:p>
        </w:tc>
        <w:tc>
          <w:tcPr>
            <w:tcW w:w="0" w:type="auto"/>
          </w:tcPr>
          <w:p w:rsidR="00BE1E7C" w:rsidRDefault="00535824">
            <w:pPr>
              <w:pStyle w:val="Compact"/>
              <w:jc w:val="right"/>
            </w:pPr>
            <w:r>
              <w:t>68,335,609</w:t>
            </w:r>
          </w:p>
        </w:tc>
        <w:tc>
          <w:tcPr>
            <w:tcW w:w="0" w:type="auto"/>
          </w:tcPr>
          <w:p w:rsidR="00BE1E7C" w:rsidRDefault="00535824">
            <w:pPr>
              <w:pStyle w:val="Compact"/>
              <w:jc w:val="right"/>
            </w:pPr>
            <w:r>
              <w:t>315,390,930</w:t>
            </w:r>
          </w:p>
        </w:tc>
        <w:tc>
          <w:tcPr>
            <w:tcW w:w="0" w:type="auto"/>
          </w:tcPr>
          <w:p w:rsidR="00BE1E7C" w:rsidRDefault="00535824">
            <w:pPr>
              <w:pStyle w:val="Compact"/>
              <w:jc w:val="right"/>
            </w:pPr>
            <w:r>
              <w:t>0.82</w:t>
            </w:r>
          </w:p>
        </w:tc>
        <w:tc>
          <w:tcPr>
            <w:tcW w:w="0" w:type="auto"/>
          </w:tcPr>
          <w:p w:rsidR="00BE1E7C" w:rsidRDefault="00535824">
            <w:pPr>
              <w:pStyle w:val="Compact"/>
              <w:jc w:val="right"/>
            </w:pPr>
            <w:r>
              <w:t>0.18</w:t>
            </w:r>
          </w:p>
        </w:tc>
      </w:tr>
      <w:tr w:rsidR="00BE1E7C">
        <w:tc>
          <w:tcPr>
            <w:tcW w:w="0" w:type="auto"/>
          </w:tcPr>
          <w:p w:rsidR="00BE1E7C" w:rsidRDefault="00535824">
            <w:pPr>
              <w:pStyle w:val="Compact"/>
            </w:pPr>
            <w:r>
              <w:t>2017</w:t>
            </w:r>
          </w:p>
        </w:tc>
        <w:tc>
          <w:tcPr>
            <w:tcW w:w="0" w:type="auto"/>
          </w:tcPr>
          <w:p w:rsidR="00BE1E7C" w:rsidRDefault="00535824">
            <w:pPr>
              <w:pStyle w:val="Compact"/>
              <w:jc w:val="right"/>
            </w:pPr>
            <w:r>
              <w:t>67,460,041</w:t>
            </w:r>
          </w:p>
        </w:tc>
        <w:tc>
          <w:tcPr>
            <w:tcW w:w="0" w:type="auto"/>
          </w:tcPr>
          <w:p w:rsidR="00BE1E7C" w:rsidRDefault="00535824">
            <w:pPr>
              <w:pStyle w:val="Compact"/>
              <w:jc w:val="right"/>
            </w:pPr>
            <w:r>
              <w:t>382,459,199</w:t>
            </w:r>
          </w:p>
        </w:tc>
        <w:tc>
          <w:tcPr>
            <w:tcW w:w="0" w:type="auto"/>
          </w:tcPr>
          <w:p w:rsidR="00BE1E7C" w:rsidRDefault="00535824">
            <w:pPr>
              <w:pStyle w:val="Compact"/>
              <w:jc w:val="right"/>
            </w:pPr>
            <w:r>
              <w:t>0.85</w:t>
            </w:r>
          </w:p>
        </w:tc>
        <w:tc>
          <w:tcPr>
            <w:tcW w:w="0" w:type="auto"/>
          </w:tcPr>
          <w:p w:rsidR="00BE1E7C" w:rsidRDefault="00535824">
            <w:pPr>
              <w:pStyle w:val="Compact"/>
              <w:jc w:val="right"/>
            </w:pPr>
            <w:r>
              <w:t>0.15</w:t>
            </w:r>
          </w:p>
        </w:tc>
      </w:tr>
      <w:tr w:rsidR="00BE1E7C">
        <w:tc>
          <w:tcPr>
            <w:tcW w:w="0" w:type="auto"/>
          </w:tcPr>
          <w:p w:rsidR="00BE1E7C" w:rsidRDefault="00535824">
            <w:pPr>
              <w:pStyle w:val="Compact"/>
            </w:pPr>
            <w:r>
              <w:t>2018</w:t>
            </w:r>
          </w:p>
        </w:tc>
        <w:tc>
          <w:tcPr>
            <w:tcW w:w="0" w:type="auto"/>
          </w:tcPr>
          <w:p w:rsidR="00BE1E7C" w:rsidRDefault="00535824">
            <w:pPr>
              <w:pStyle w:val="Compact"/>
              <w:jc w:val="right"/>
            </w:pPr>
            <w:r>
              <w:t>64,775,898</w:t>
            </w:r>
          </w:p>
        </w:tc>
        <w:tc>
          <w:tcPr>
            <w:tcW w:w="0" w:type="auto"/>
          </w:tcPr>
          <w:p w:rsidR="00BE1E7C" w:rsidRDefault="00535824">
            <w:pPr>
              <w:pStyle w:val="Compact"/>
              <w:jc w:val="right"/>
            </w:pPr>
            <w:r>
              <w:t>339,572,426</w:t>
            </w:r>
          </w:p>
        </w:tc>
        <w:tc>
          <w:tcPr>
            <w:tcW w:w="0" w:type="auto"/>
          </w:tcPr>
          <w:p w:rsidR="00BE1E7C" w:rsidRDefault="00535824">
            <w:pPr>
              <w:pStyle w:val="Compact"/>
              <w:jc w:val="right"/>
            </w:pPr>
            <w:r>
              <w:t>0.84</w:t>
            </w:r>
          </w:p>
        </w:tc>
        <w:tc>
          <w:tcPr>
            <w:tcW w:w="0" w:type="auto"/>
          </w:tcPr>
          <w:p w:rsidR="00BE1E7C" w:rsidRDefault="00535824">
            <w:pPr>
              <w:pStyle w:val="Compact"/>
              <w:jc w:val="right"/>
            </w:pPr>
            <w:r>
              <w:t>0.16</w:t>
            </w:r>
          </w:p>
        </w:tc>
      </w:tr>
    </w:tbl>
    <w:p w:rsidR="00BE1E7C" w:rsidRDefault="00535824">
      <w:pPr>
        <w:pStyle w:val="Heading1"/>
      </w:pPr>
      <w:bookmarkStart w:id="1" w:name="X675221fed60f46b1d6c1b06686b6e0fa04bddf6"/>
      <w:r>
        <w:t>METHOD 2: Mothership catch allocated to state based ex-vessel revenue of catcher vessels and production value of mothership vessels</w:t>
      </w:r>
      <w:bookmarkEnd w:id="1"/>
    </w:p>
    <w:p w:rsidR="00BE1E7C" w:rsidRDefault="00535824">
      <w:pPr>
        <w:pStyle w:val="TableCaption"/>
      </w:pPr>
      <w:r>
        <w:t>Total ex-vessel revenue for catcher vessels and production value for mothership vessels (2018 $) and proportions by homeport</w:t>
      </w:r>
      <w:r>
        <w:t xml:space="preserve"> state for mothership sector</w:t>
      </w:r>
    </w:p>
    <w:tbl>
      <w:tblPr>
        <w:tblStyle w:val="Table"/>
        <w:tblW w:w="0" w:type="pct"/>
        <w:tblLook w:val="07E0" w:firstRow="1" w:lastRow="1" w:firstColumn="1" w:lastColumn="1" w:noHBand="1" w:noVBand="1"/>
        <w:tblCaption w:val="Total ex-vessel revenue for catcher vessels and production value for mothership vessels (2018 $) and proportions by homeport state for mothership sector"/>
      </w:tblPr>
      <w:tblGrid>
        <w:gridCol w:w="790"/>
        <w:gridCol w:w="1245"/>
        <w:gridCol w:w="1245"/>
        <w:gridCol w:w="1661"/>
        <w:gridCol w:w="1025"/>
      </w:tblGrid>
      <w:tr w:rsidR="00BE1E7C">
        <w:tc>
          <w:tcPr>
            <w:tcW w:w="0" w:type="auto"/>
            <w:tcBorders>
              <w:bottom w:val="single" w:sz="0" w:space="0" w:color="auto"/>
            </w:tcBorders>
            <w:vAlign w:val="bottom"/>
          </w:tcPr>
          <w:p w:rsidR="00BE1E7C" w:rsidRDefault="00535824">
            <w:pPr>
              <w:pStyle w:val="Compact"/>
            </w:pPr>
            <w:r>
              <w:t>YEAR</w:t>
            </w:r>
          </w:p>
        </w:tc>
        <w:tc>
          <w:tcPr>
            <w:tcW w:w="0" w:type="auto"/>
            <w:tcBorders>
              <w:bottom w:val="single" w:sz="0" w:space="0" w:color="auto"/>
            </w:tcBorders>
            <w:vAlign w:val="bottom"/>
          </w:tcPr>
          <w:p w:rsidR="00BE1E7C" w:rsidRDefault="00535824">
            <w:pPr>
              <w:pStyle w:val="Compact"/>
              <w:jc w:val="right"/>
            </w:pPr>
            <w:r>
              <w:t>WA</w:t>
            </w:r>
          </w:p>
        </w:tc>
        <w:tc>
          <w:tcPr>
            <w:tcW w:w="0" w:type="auto"/>
            <w:tcBorders>
              <w:bottom w:val="single" w:sz="0" w:space="0" w:color="auto"/>
            </w:tcBorders>
            <w:vAlign w:val="bottom"/>
          </w:tcPr>
          <w:p w:rsidR="00BE1E7C" w:rsidRDefault="00535824">
            <w:pPr>
              <w:pStyle w:val="Compact"/>
              <w:jc w:val="right"/>
            </w:pPr>
            <w:r>
              <w:t>OR</w:t>
            </w:r>
          </w:p>
        </w:tc>
        <w:tc>
          <w:tcPr>
            <w:tcW w:w="0" w:type="auto"/>
            <w:tcBorders>
              <w:bottom w:val="single" w:sz="0" w:space="0" w:color="auto"/>
            </w:tcBorders>
            <w:vAlign w:val="bottom"/>
          </w:tcPr>
          <w:p w:rsidR="00BE1E7C" w:rsidRDefault="00535824">
            <w:pPr>
              <w:pStyle w:val="Compact"/>
              <w:jc w:val="right"/>
            </w:pPr>
            <w:r>
              <w:t>MOTHERSHIP</w:t>
            </w:r>
          </w:p>
        </w:tc>
        <w:tc>
          <w:tcPr>
            <w:tcW w:w="0" w:type="auto"/>
            <w:tcBorders>
              <w:bottom w:val="single" w:sz="0" w:space="0" w:color="auto"/>
            </w:tcBorders>
            <w:vAlign w:val="bottom"/>
          </w:tcPr>
          <w:p w:rsidR="00BE1E7C" w:rsidRDefault="00535824">
            <w:pPr>
              <w:pStyle w:val="Compact"/>
              <w:jc w:val="right"/>
            </w:pPr>
            <w:r>
              <w:t>propMS</w:t>
            </w:r>
          </w:p>
        </w:tc>
      </w:tr>
      <w:tr w:rsidR="00BE1E7C">
        <w:tc>
          <w:tcPr>
            <w:tcW w:w="0" w:type="auto"/>
          </w:tcPr>
          <w:p w:rsidR="00BE1E7C" w:rsidRDefault="00535824">
            <w:pPr>
              <w:pStyle w:val="Compact"/>
            </w:pPr>
            <w:r>
              <w:t>2016</w:t>
            </w:r>
          </w:p>
        </w:tc>
        <w:tc>
          <w:tcPr>
            <w:tcW w:w="0" w:type="auto"/>
          </w:tcPr>
          <w:p w:rsidR="00BE1E7C" w:rsidRDefault="00535824">
            <w:pPr>
              <w:pStyle w:val="Compact"/>
              <w:jc w:val="right"/>
            </w:pPr>
            <w:r>
              <w:t>5,696,727</w:t>
            </w:r>
          </w:p>
        </w:tc>
        <w:tc>
          <w:tcPr>
            <w:tcW w:w="0" w:type="auto"/>
          </w:tcPr>
          <w:p w:rsidR="00BE1E7C" w:rsidRDefault="00535824">
            <w:pPr>
              <w:pStyle w:val="Compact"/>
              <w:jc w:val="right"/>
            </w:pPr>
            <w:r>
              <w:t>4,984,241</w:t>
            </w:r>
          </w:p>
        </w:tc>
        <w:tc>
          <w:tcPr>
            <w:tcW w:w="0" w:type="auto"/>
          </w:tcPr>
          <w:p w:rsidR="00BE1E7C" w:rsidRDefault="00535824">
            <w:pPr>
              <w:pStyle w:val="Compact"/>
              <w:jc w:val="right"/>
            </w:pPr>
            <w:r>
              <w:t>43,066,674</w:t>
            </w:r>
          </w:p>
        </w:tc>
        <w:tc>
          <w:tcPr>
            <w:tcW w:w="0" w:type="auto"/>
          </w:tcPr>
          <w:p w:rsidR="00BE1E7C" w:rsidRDefault="00535824">
            <w:pPr>
              <w:pStyle w:val="Compact"/>
              <w:jc w:val="right"/>
            </w:pPr>
            <w:r>
              <w:t>0.80</w:t>
            </w:r>
          </w:p>
        </w:tc>
      </w:tr>
      <w:tr w:rsidR="00BE1E7C">
        <w:tc>
          <w:tcPr>
            <w:tcW w:w="0" w:type="auto"/>
          </w:tcPr>
          <w:p w:rsidR="00BE1E7C" w:rsidRDefault="00535824">
            <w:pPr>
              <w:pStyle w:val="Compact"/>
            </w:pPr>
            <w:r>
              <w:t>2014</w:t>
            </w:r>
          </w:p>
        </w:tc>
        <w:tc>
          <w:tcPr>
            <w:tcW w:w="0" w:type="auto"/>
          </w:tcPr>
          <w:p w:rsidR="00BE1E7C" w:rsidRDefault="00535824">
            <w:pPr>
              <w:pStyle w:val="Compact"/>
              <w:jc w:val="right"/>
            </w:pPr>
            <w:r>
              <w:t>7,595,842</w:t>
            </w:r>
          </w:p>
        </w:tc>
        <w:tc>
          <w:tcPr>
            <w:tcW w:w="0" w:type="auto"/>
          </w:tcPr>
          <w:p w:rsidR="00BE1E7C" w:rsidRDefault="00535824">
            <w:pPr>
              <w:pStyle w:val="Compact"/>
              <w:jc w:val="right"/>
            </w:pPr>
            <w:r>
              <w:t>4,936,886</w:t>
            </w:r>
          </w:p>
        </w:tc>
        <w:tc>
          <w:tcPr>
            <w:tcW w:w="0" w:type="auto"/>
          </w:tcPr>
          <w:p w:rsidR="00BE1E7C" w:rsidRDefault="00535824">
            <w:pPr>
              <w:pStyle w:val="Compact"/>
              <w:jc w:val="right"/>
            </w:pPr>
            <w:r>
              <w:t>46,383,608</w:t>
            </w:r>
          </w:p>
        </w:tc>
        <w:tc>
          <w:tcPr>
            <w:tcW w:w="0" w:type="auto"/>
          </w:tcPr>
          <w:p w:rsidR="00BE1E7C" w:rsidRDefault="00535824">
            <w:pPr>
              <w:pStyle w:val="Compact"/>
              <w:jc w:val="right"/>
            </w:pPr>
            <w:r>
              <w:t>0.79</w:t>
            </w:r>
          </w:p>
        </w:tc>
      </w:tr>
      <w:tr w:rsidR="00BE1E7C">
        <w:tc>
          <w:tcPr>
            <w:tcW w:w="0" w:type="auto"/>
          </w:tcPr>
          <w:p w:rsidR="00BE1E7C" w:rsidRDefault="00535824">
            <w:pPr>
              <w:pStyle w:val="Compact"/>
            </w:pPr>
            <w:r>
              <w:t>2018</w:t>
            </w:r>
          </w:p>
        </w:tc>
        <w:tc>
          <w:tcPr>
            <w:tcW w:w="0" w:type="auto"/>
          </w:tcPr>
          <w:p w:rsidR="00BE1E7C" w:rsidRDefault="00535824">
            <w:pPr>
              <w:pStyle w:val="Compact"/>
              <w:jc w:val="right"/>
            </w:pPr>
            <w:r>
              <w:t>6,558,239</w:t>
            </w:r>
          </w:p>
        </w:tc>
        <w:tc>
          <w:tcPr>
            <w:tcW w:w="0" w:type="auto"/>
          </w:tcPr>
          <w:p w:rsidR="00BE1E7C" w:rsidRDefault="00535824">
            <w:pPr>
              <w:pStyle w:val="Compact"/>
              <w:jc w:val="right"/>
            </w:pPr>
            <w:r>
              <w:t>5,597,637</w:t>
            </w:r>
          </w:p>
        </w:tc>
        <w:tc>
          <w:tcPr>
            <w:tcW w:w="0" w:type="auto"/>
          </w:tcPr>
          <w:p w:rsidR="00BE1E7C" w:rsidRDefault="00535824">
            <w:pPr>
              <w:pStyle w:val="Compact"/>
              <w:jc w:val="right"/>
            </w:pPr>
            <w:r>
              <w:t>47,098,461</w:t>
            </w:r>
          </w:p>
        </w:tc>
        <w:tc>
          <w:tcPr>
            <w:tcW w:w="0" w:type="auto"/>
          </w:tcPr>
          <w:p w:rsidR="00BE1E7C" w:rsidRDefault="00535824">
            <w:pPr>
              <w:pStyle w:val="Compact"/>
              <w:jc w:val="right"/>
            </w:pPr>
            <w:r>
              <w:t>0.79</w:t>
            </w:r>
          </w:p>
        </w:tc>
      </w:tr>
      <w:tr w:rsidR="00BE1E7C">
        <w:tc>
          <w:tcPr>
            <w:tcW w:w="0" w:type="auto"/>
          </w:tcPr>
          <w:p w:rsidR="00BE1E7C" w:rsidRDefault="00535824">
            <w:pPr>
              <w:pStyle w:val="Compact"/>
            </w:pPr>
            <w:r>
              <w:t>2017</w:t>
            </w:r>
          </w:p>
        </w:tc>
        <w:tc>
          <w:tcPr>
            <w:tcW w:w="0" w:type="auto"/>
          </w:tcPr>
          <w:p w:rsidR="00BE1E7C" w:rsidRDefault="00535824">
            <w:pPr>
              <w:pStyle w:val="Compact"/>
              <w:jc w:val="right"/>
            </w:pPr>
            <w:r>
              <w:t>6,045,858</w:t>
            </w:r>
          </w:p>
        </w:tc>
        <w:tc>
          <w:tcPr>
            <w:tcW w:w="0" w:type="auto"/>
          </w:tcPr>
          <w:p w:rsidR="00BE1E7C" w:rsidRDefault="00535824">
            <w:pPr>
              <w:pStyle w:val="Compact"/>
              <w:jc w:val="right"/>
            </w:pPr>
            <w:r>
              <w:t>5,508,012</w:t>
            </w:r>
          </w:p>
        </w:tc>
        <w:tc>
          <w:tcPr>
            <w:tcW w:w="0" w:type="auto"/>
          </w:tcPr>
          <w:p w:rsidR="00BE1E7C" w:rsidRDefault="00535824">
            <w:pPr>
              <w:pStyle w:val="Compact"/>
              <w:jc w:val="right"/>
            </w:pPr>
            <w:r>
              <w:t>43,526,043</w:t>
            </w:r>
          </w:p>
        </w:tc>
        <w:tc>
          <w:tcPr>
            <w:tcW w:w="0" w:type="auto"/>
          </w:tcPr>
          <w:p w:rsidR="00BE1E7C" w:rsidRDefault="00535824">
            <w:pPr>
              <w:pStyle w:val="Compact"/>
              <w:jc w:val="right"/>
            </w:pPr>
            <w:r>
              <w:t>0.79</w:t>
            </w:r>
          </w:p>
        </w:tc>
      </w:tr>
      <w:tr w:rsidR="00BE1E7C">
        <w:tc>
          <w:tcPr>
            <w:tcW w:w="0" w:type="auto"/>
          </w:tcPr>
          <w:p w:rsidR="00BE1E7C" w:rsidRDefault="00535824">
            <w:pPr>
              <w:pStyle w:val="Compact"/>
            </w:pPr>
            <w:r>
              <w:t>2015</w:t>
            </w:r>
          </w:p>
        </w:tc>
        <w:tc>
          <w:tcPr>
            <w:tcW w:w="0" w:type="auto"/>
          </w:tcPr>
          <w:p w:rsidR="00BE1E7C" w:rsidRDefault="00535824">
            <w:pPr>
              <w:pStyle w:val="Compact"/>
              <w:jc w:val="right"/>
            </w:pPr>
            <w:r>
              <w:t>1,990,811</w:t>
            </w:r>
          </w:p>
        </w:tc>
        <w:tc>
          <w:tcPr>
            <w:tcW w:w="0" w:type="auto"/>
          </w:tcPr>
          <w:p w:rsidR="00BE1E7C" w:rsidRDefault="00535824">
            <w:pPr>
              <w:pStyle w:val="Compact"/>
              <w:jc w:val="right"/>
            </w:pPr>
            <w:r>
              <w:t>3,571,405</w:t>
            </w:r>
          </w:p>
        </w:tc>
        <w:tc>
          <w:tcPr>
            <w:tcW w:w="0" w:type="auto"/>
          </w:tcPr>
          <w:p w:rsidR="00BE1E7C" w:rsidRDefault="00535824">
            <w:pPr>
              <w:pStyle w:val="Compact"/>
              <w:jc w:val="right"/>
            </w:pPr>
            <w:r>
              <w:t>20,267,726</w:t>
            </w:r>
          </w:p>
        </w:tc>
        <w:tc>
          <w:tcPr>
            <w:tcW w:w="0" w:type="auto"/>
          </w:tcPr>
          <w:p w:rsidR="00BE1E7C" w:rsidRDefault="00535824">
            <w:pPr>
              <w:pStyle w:val="Compact"/>
              <w:jc w:val="right"/>
            </w:pPr>
            <w:r>
              <w:t>0.78</w:t>
            </w:r>
          </w:p>
        </w:tc>
      </w:tr>
    </w:tbl>
    <w:p w:rsidR="00BE1E7C" w:rsidRDefault="00535824">
      <w:pPr>
        <w:pStyle w:val="TableCaption"/>
      </w:pPr>
      <w:r>
        <w:t>Total ex-vessel revenue/production v</w:t>
      </w:r>
      <w:r w:rsidR="00416A43">
        <w:t>alue for mothership sector (</w:t>
      </w:r>
      <w:bookmarkStart w:id="2" w:name="_GoBack"/>
      <w:bookmarkEnd w:id="2"/>
      <w:r>
        <w:t xml:space="preserve"> $) and proportions by homeport state for catcher vessels and all allocated to Washington for motherships</w:t>
      </w:r>
    </w:p>
    <w:tbl>
      <w:tblPr>
        <w:tblStyle w:val="Table"/>
        <w:tblW w:w="0" w:type="pct"/>
        <w:tblLook w:val="07E0" w:firstRow="1" w:lastRow="1" w:firstColumn="1" w:lastColumn="1" w:noHBand="1" w:noVBand="1"/>
        <w:tblCaption w:val="Total ex-vessel revenue/production value for mothership sector (2018 $) and proportions by homeport state for catcher vessels and all allocated to Washington for motherships"/>
      </w:tblPr>
      <w:tblGrid>
        <w:gridCol w:w="790"/>
        <w:gridCol w:w="1245"/>
        <w:gridCol w:w="1378"/>
        <w:gridCol w:w="1081"/>
        <w:gridCol w:w="1016"/>
      </w:tblGrid>
      <w:tr w:rsidR="00BE1E7C">
        <w:tc>
          <w:tcPr>
            <w:tcW w:w="0" w:type="auto"/>
            <w:tcBorders>
              <w:bottom w:val="single" w:sz="0" w:space="0" w:color="auto"/>
            </w:tcBorders>
            <w:vAlign w:val="bottom"/>
          </w:tcPr>
          <w:p w:rsidR="00BE1E7C" w:rsidRDefault="00535824">
            <w:pPr>
              <w:pStyle w:val="Compact"/>
            </w:pPr>
            <w:r>
              <w:t>YEAR</w:t>
            </w:r>
          </w:p>
        </w:tc>
        <w:tc>
          <w:tcPr>
            <w:tcW w:w="0" w:type="auto"/>
            <w:tcBorders>
              <w:bottom w:val="single" w:sz="0" w:space="0" w:color="auto"/>
            </w:tcBorders>
            <w:vAlign w:val="bottom"/>
          </w:tcPr>
          <w:p w:rsidR="00BE1E7C" w:rsidRDefault="00535824">
            <w:pPr>
              <w:pStyle w:val="Compact"/>
              <w:jc w:val="right"/>
            </w:pPr>
            <w:r>
              <w:t>OR</w:t>
            </w:r>
          </w:p>
        </w:tc>
        <w:tc>
          <w:tcPr>
            <w:tcW w:w="0" w:type="auto"/>
            <w:tcBorders>
              <w:bottom w:val="single" w:sz="0" w:space="0" w:color="auto"/>
            </w:tcBorders>
            <w:vAlign w:val="bottom"/>
          </w:tcPr>
          <w:p w:rsidR="00BE1E7C" w:rsidRDefault="00535824">
            <w:pPr>
              <w:pStyle w:val="Compact"/>
              <w:jc w:val="right"/>
            </w:pPr>
            <w:r>
              <w:t>WA</w:t>
            </w:r>
          </w:p>
        </w:tc>
        <w:tc>
          <w:tcPr>
            <w:tcW w:w="0" w:type="auto"/>
            <w:tcBorders>
              <w:bottom w:val="single" w:sz="0" w:space="0" w:color="auto"/>
            </w:tcBorders>
            <w:vAlign w:val="bottom"/>
          </w:tcPr>
          <w:p w:rsidR="00BE1E7C" w:rsidRDefault="00535824">
            <w:pPr>
              <w:pStyle w:val="Compact"/>
              <w:jc w:val="right"/>
            </w:pPr>
            <w:r>
              <w:t>propWA</w:t>
            </w:r>
          </w:p>
        </w:tc>
        <w:tc>
          <w:tcPr>
            <w:tcW w:w="0" w:type="auto"/>
            <w:tcBorders>
              <w:bottom w:val="single" w:sz="0" w:space="0" w:color="auto"/>
            </w:tcBorders>
            <w:vAlign w:val="bottom"/>
          </w:tcPr>
          <w:p w:rsidR="00BE1E7C" w:rsidRDefault="00535824">
            <w:pPr>
              <w:pStyle w:val="Compact"/>
              <w:jc w:val="right"/>
            </w:pPr>
            <w:r>
              <w:t>propOR</w:t>
            </w:r>
          </w:p>
        </w:tc>
      </w:tr>
      <w:tr w:rsidR="00BE1E7C">
        <w:tc>
          <w:tcPr>
            <w:tcW w:w="0" w:type="auto"/>
          </w:tcPr>
          <w:p w:rsidR="00BE1E7C" w:rsidRDefault="00535824">
            <w:pPr>
              <w:pStyle w:val="Compact"/>
            </w:pPr>
            <w:r>
              <w:t>2014</w:t>
            </w:r>
          </w:p>
        </w:tc>
        <w:tc>
          <w:tcPr>
            <w:tcW w:w="0" w:type="auto"/>
          </w:tcPr>
          <w:p w:rsidR="00BE1E7C" w:rsidRDefault="00535824">
            <w:pPr>
              <w:pStyle w:val="Compact"/>
              <w:jc w:val="right"/>
            </w:pPr>
            <w:r>
              <w:t>4,936,886</w:t>
            </w:r>
          </w:p>
        </w:tc>
        <w:tc>
          <w:tcPr>
            <w:tcW w:w="0" w:type="auto"/>
          </w:tcPr>
          <w:p w:rsidR="00BE1E7C" w:rsidRDefault="00535824">
            <w:pPr>
              <w:pStyle w:val="Compact"/>
              <w:jc w:val="right"/>
            </w:pPr>
            <w:r>
              <w:t>53,979,450</w:t>
            </w:r>
          </w:p>
        </w:tc>
        <w:tc>
          <w:tcPr>
            <w:tcW w:w="0" w:type="auto"/>
          </w:tcPr>
          <w:p w:rsidR="00BE1E7C" w:rsidRDefault="00535824">
            <w:pPr>
              <w:pStyle w:val="Compact"/>
              <w:jc w:val="right"/>
            </w:pPr>
            <w:r>
              <w:t>0.92</w:t>
            </w:r>
          </w:p>
        </w:tc>
        <w:tc>
          <w:tcPr>
            <w:tcW w:w="0" w:type="auto"/>
          </w:tcPr>
          <w:p w:rsidR="00BE1E7C" w:rsidRDefault="00535824">
            <w:pPr>
              <w:pStyle w:val="Compact"/>
              <w:jc w:val="right"/>
            </w:pPr>
            <w:r>
              <w:t>0.08</w:t>
            </w:r>
          </w:p>
        </w:tc>
      </w:tr>
      <w:tr w:rsidR="00BE1E7C">
        <w:tc>
          <w:tcPr>
            <w:tcW w:w="0" w:type="auto"/>
          </w:tcPr>
          <w:p w:rsidR="00BE1E7C" w:rsidRDefault="00535824">
            <w:pPr>
              <w:pStyle w:val="Compact"/>
            </w:pPr>
            <w:r>
              <w:t>2015</w:t>
            </w:r>
          </w:p>
        </w:tc>
        <w:tc>
          <w:tcPr>
            <w:tcW w:w="0" w:type="auto"/>
          </w:tcPr>
          <w:p w:rsidR="00BE1E7C" w:rsidRDefault="00535824">
            <w:pPr>
              <w:pStyle w:val="Compact"/>
              <w:jc w:val="right"/>
            </w:pPr>
            <w:r>
              <w:t>3,571,405</w:t>
            </w:r>
          </w:p>
        </w:tc>
        <w:tc>
          <w:tcPr>
            <w:tcW w:w="0" w:type="auto"/>
          </w:tcPr>
          <w:p w:rsidR="00BE1E7C" w:rsidRDefault="00535824">
            <w:pPr>
              <w:pStyle w:val="Compact"/>
              <w:jc w:val="right"/>
            </w:pPr>
            <w:r>
              <w:t>22,258,537</w:t>
            </w:r>
          </w:p>
        </w:tc>
        <w:tc>
          <w:tcPr>
            <w:tcW w:w="0" w:type="auto"/>
          </w:tcPr>
          <w:p w:rsidR="00BE1E7C" w:rsidRDefault="00535824">
            <w:pPr>
              <w:pStyle w:val="Compact"/>
              <w:jc w:val="right"/>
            </w:pPr>
            <w:r>
              <w:t>0.86</w:t>
            </w:r>
          </w:p>
        </w:tc>
        <w:tc>
          <w:tcPr>
            <w:tcW w:w="0" w:type="auto"/>
          </w:tcPr>
          <w:p w:rsidR="00BE1E7C" w:rsidRDefault="00535824">
            <w:pPr>
              <w:pStyle w:val="Compact"/>
              <w:jc w:val="right"/>
            </w:pPr>
            <w:r>
              <w:t>0.14</w:t>
            </w:r>
          </w:p>
        </w:tc>
      </w:tr>
      <w:tr w:rsidR="00BE1E7C">
        <w:tc>
          <w:tcPr>
            <w:tcW w:w="0" w:type="auto"/>
          </w:tcPr>
          <w:p w:rsidR="00BE1E7C" w:rsidRDefault="00535824">
            <w:pPr>
              <w:pStyle w:val="Compact"/>
            </w:pPr>
            <w:r>
              <w:t>2016</w:t>
            </w:r>
          </w:p>
        </w:tc>
        <w:tc>
          <w:tcPr>
            <w:tcW w:w="0" w:type="auto"/>
          </w:tcPr>
          <w:p w:rsidR="00BE1E7C" w:rsidRDefault="00535824">
            <w:pPr>
              <w:pStyle w:val="Compact"/>
              <w:jc w:val="right"/>
            </w:pPr>
            <w:r>
              <w:t>4,984,241</w:t>
            </w:r>
          </w:p>
        </w:tc>
        <w:tc>
          <w:tcPr>
            <w:tcW w:w="0" w:type="auto"/>
          </w:tcPr>
          <w:p w:rsidR="00BE1E7C" w:rsidRDefault="00535824">
            <w:pPr>
              <w:pStyle w:val="Compact"/>
              <w:jc w:val="right"/>
            </w:pPr>
            <w:r>
              <w:t>48,763,401</w:t>
            </w:r>
          </w:p>
        </w:tc>
        <w:tc>
          <w:tcPr>
            <w:tcW w:w="0" w:type="auto"/>
          </w:tcPr>
          <w:p w:rsidR="00BE1E7C" w:rsidRDefault="00535824">
            <w:pPr>
              <w:pStyle w:val="Compact"/>
              <w:jc w:val="right"/>
            </w:pPr>
            <w:r>
              <w:t>0.91</w:t>
            </w:r>
          </w:p>
        </w:tc>
        <w:tc>
          <w:tcPr>
            <w:tcW w:w="0" w:type="auto"/>
          </w:tcPr>
          <w:p w:rsidR="00BE1E7C" w:rsidRDefault="00535824">
            <w:pPr>
              <w:pStyle w:val="Compact"/>
              <w:jc w:val="right"/>
            </w:pPr>
            <w:r>
              <w:t>0.09</w:t>
            </w:r>
          </w:p>
        </w:tc>
      </w:tr>
      <w:tr w:rsidR="00BE1E7C">
        <w:tc>
          <w:tcPr>
            <w:tcW w:w="0" w:type="auto"/>
          </w:tcPr>
          <w:p w:rsidR="00BE1E7C" w:rsidRDefault="00535824">
            <w:pPr>
              <w:pStyle w:val="Compact"/>
            </w:pPr>
            <w:r>
              <w:t>2017</w:t>
            </w:r>
          </w:p>
        </w:tc>
        <w:tc>
          <w:tcPr>
            <w:tcW w:w="0" w:type="auto"/>
          </w:tcPr>
          <w:p w:rsidR="00BE1E7C" w:rsidRDefault="00535824">
            <w:pPr>
              <w:pStyle w:val="Compact"/>
              <w:jc w:val="right"/>
            </w:pPr>
            <w:r>
              <w:t>5,508,012</w:t>
            </w:r>
          </w:p>
        </w:tc>
        <w:tc>
          <w:tcPr>
            <w:tcW w:w="0" w:type="auto"/>
          </w:tcPr>
          <w:p w:rsidR="00BE1E7C" w:rsidRDefault="00535824">
            <w:pPr>
              <w:pStyle w:val="Compact"/>
              <w:jc w:val="right"/>
            </w:pPr>
            <w:r>
              <w:t>49,571,901</w:t>
            </w:r>
          </w:p>
        </w:tc>
        <w:tc>
          <w:tcPr>
            <w:tcW w:w="0" w:type="auto"/>
          </w:tcPr>
          <w:p w:rsidR="00BE1E7C" w:rsidRDefault="00535824">
            <w:pPr>
              <w:pStyle w:val="Compact"/>
              <w:jc w:val="right"/>
            </w:pPr>
            <w:r>
              <w:t>0.90</w:t>
            </w:r>
          </w:p>
        </w:tc>
        <w:tc>
          <w:tcPr>
            <w:tcW w:w="0" w:type="auto"/>
          </w:tcPr>
          <w:p w:rsidR="00BE1E7C" w:rsidRDefault="00535824">
            <w:pPr>
              <w:pStyle w:val="Compact"/>
              <w:jc w:val="right"/>
            </w:pPr>
            <w:r>
              <w:t>0.10</w:t>
            </w:r>
          </w:p>
        </w:tc>
      </w:tr>
      <w:tr w:rsidR="00BE1E7C">
        <w:tc>
          <w:tcPr>
            <w:tcW w:w="0" w:type="auto"/>
          </w:tcPr>
          <w:p w:rsidR="00BE1E7C" w:rsidRDefault="00535824">
            <w:pPr>
              <w:pStyle w:val="Compact"/>
            </w:pPr>
            <w:r>
              <w:t>2018</w:t>
            </w:r>
          </w:p>
        </w:tc>
        <w:tc>
          <w:tcPr>
            <w:tcW w:w="0" w:type="auto"/>
          </w:tcPr>
          <w:p w:rsidR="00BE1E7C" w:rsidRDefault="00535824">
            <w:pPr>
              <w:pStyle w:val="Compact"/>
              <w:jc w:val="right"/>
            </w:pPr>
            <w:r>
              <w:t>5,597,637</w:t>
            </w:r>
          </w:p>
        </w:tc>
        <w:tc>
          <w:tcPr>
            <w:tcW w:w="0" w:type="auto"/>
          </w:tcPr>
          <w:p w:rsidR="00BE1E7C" w:rsidRDefault="00535824">
            <w:pPr>
              <w:pStyle w:val="Compact"/>
              <w:jc w:val="right"/>
            </w:pPr>
            <w:r>
              <w:t>53,656,700</w:t>
            </w:r>
          </w:p>
        </w:tc>
        <w:tc>
          <w:tcPr>
            <w:tcW w:w="0" w:type="auto"/>
          </w:tcPr>
          <w:p w:rsidR="00BE1E7C" w:rsidRDefault="00535824">
            <w:pPr>
              <w:pStyle w:val="Compact"/>
              <w:jc w:val="right"/>
            </w:pPr>
            <w:r>
              <w:t>0.91</w:t>
            </w:r>
          </w:p>
        </w:tc>
        <w:tc>
          <w:tcPr>
            <w:tcW w:w="0" w:type="auto"/>
          </w:tcPr>
          <w:p w:rsidR="00BE1E7C" w:rsidRDefault="00535824">
            <w:pPr>
              <w:pStyle w:val="Compact"/>
              <w:jc w:val="right"/>
            </w:pPr>
            <w:r>
              <w:t>0.09</w:t>
            </w:r>
          </w:p>
        </w:tc>
      </w:tr>
    </w:tbl>
    <w:p w:rsidR="00BE1E7C" w:rsidRDefault="00535824">
      <w:pPr>
        <w:pStyle w:val="TableCaption"/>
      </w:pPr>
      <w:r>
        <w:t>METHOD 2: Total catch (lbs) and proportions by state (MS catch allocated by value) for entire at-sea sector (catcher processors and mothership).</w:t>
      </w:r>
    </w:p>
    <w:tbl>
      <w:tblPr>
        <w:tblStyle w:val="Table"/>
        <w:tblW w:w="0" w:type="pct"/>
        <w:tblLook w:val="07E0" w:firstRow="1" w:lastRow="1" w:firstColumn="1" w:lastColumn="1" w:noHBand="1" w:noVBand="1"/>
        <w:tblCaption w:val="METHOD 2: Total catch (lbs) and proportions by state (MS catch allocated by value) for entire at-sea sector (catcher processors and mothership)."/>
      </w:tblPr>
      <w:tblGrid>
        <w:gridCol w:w="790"/>
        <w:gridCol w:w="1511"/>
        <w:gridCol w:w="1378"/>
        <w:gridCol w:w="1081"/>
        <w:gridCol w:w="1016"/>
      </w:tblGrid>
      <w:tr w:rsidR="00BE1E7C">
        <w:tc>
          <w:tcPr>
            <w:tcW w:w="0" w:type="auto"/>
            <w:tcBorders>
              <w:bottom w:val="single" w:sz="0" w:space="0" w:color="auto"/>
            </w:tcBorders>
            <w:vAlign w:val="bottom"/>
          </w:tcPr>
          <w:p w:rsidR="00BE1E7C" w:rsidRDefault="00535824">
            <w:pPr>
              <w:pStyle w:val="Compact"/>
            </w:pPr>
            <w:r>
              <w:t>YEAR</w:t>
            </w:r>
          </w:p>
        </w:tc>
        <w:tc>
          <w:tcPr>
            <w:tcW w:w="0" w:type="auto"/>
            <w:tcBorders>
              <w:bottom w:val="single" w:sz="0" w:space="0" w:color="auto"/>
            </w:tcBorders>
            <w:vAlign w:val="bottom"/>
          </w:tcPr>
          <w:p w:rsidR="00BE1E7C" w:rsidRDefault="00535824">
            <w:pPr>
              <w:pStyle w:val="Compact"/>
              <w:jc w:val="right"/>
            </w:pPr>
            <w:r>
              <w:t>WA</w:t>
            </w:r>
          </w:p>
        </w:tc>
        <w:tc>
          <w:tcPr>
            <w:tcW w:w="0" w:type="auto"/>
            <w:tcBorders>
              <w:bottom w:val="single" w:sz="0" w:space="0" w:color="auto"/>
            </w:tcBorders>
            <w:vAlign w:val="bottom"/>
          </w:tcPr>
          <w:p w:rsidR="00BE1E7C" w:rsidRDefault="00535824">
            <w:pPr>
              <w:pStyle w:val="Compact"/>
              <w:jc w:val="right"/>
            </w:pPr>
            <w:r>
              <w:t>OR</w:t>
            </w:r>
          </w:p>
        </w:tc>
        <w:tc>
          <w:tcPr>
            <w:tcW w:w="0" w:type="auto"/>
            <w:tcBorders>
              <w:bottom w:val="single" w:sz="0" w:space="0" w:color="auto"/>
            </w:tcBorders>
            <w:vAlign w:val="bottom"/>
          </w:tcPr>
          <w:p w:rsidR="00BE1E7C" w:rsidRDefault="00535824">
            <w:pPr>
              <w:pStyle w:val="Compact"/>
              <w:jc w:val="right"/>
            </w:pPr>
            <w:r>
              <w:t>WAprop</w:t>
            </w:r>
          </w:p>
        </w:tc>
        <w:tc>
          <w:tcPr>
            <w:tcW w:w="0" w:type="auto"/>
            <w:tcBorders>
              <w:bottom w:val="single" w:sz="0" w:space="0" w:color="auto"/>
            </w:tcBorders>
            <w:vAlign w:val="bottom"/>
          </w:tcPr>
          <w:p w:rsidR="00BE1E7C" w:rsidRDefault="00535824">
            <w:pPr>
              <w:pStyle w:val="Compact"/>
              <w:jc w:val="right"/>
            </w:pPr>
            <w:r>
              <w:t>ORprop</w:t>
            </w:r>
          </w:p>
        </w:tc>
      </w:tr>
      <w:tr w:rsidR="00BE1E7C">
        <w:tc>
          <w:tcPr>
            <w:tcW w:w="0" w:type="auto"/>
          </w:tcPr>
          <w:p w:rsidR="00BE1E7C" w:rsidRDefault="00535824">
            <w:pPr>
              <w:pStyle w:val="Compact"/>
            </w:pPr>
            <w:r>
              <w:t>2014</w:t>
            </w:r>
          </w:p>
        </w:tc>
        <w:tc>
          <w:tcPr>
            <w:tcW w:w="0" w:type="auto"/>
          </w:tcPr>
          <w:p w:rsidR="00BE1E7C" w:rsidRDefault="00535824">
            <w:pPr>
              <w:pStyle w:val="Compact"/>
              <w:jc w:val="right"/>
            </w:pPr>
            <w:r>
              <w:t>353,042,478</w:t>
            </w:r>
          </w:p>
        </w:tc>
        <w:tc>
          <w:tcPr>
            <w:tcW w:w="0" w:type="auto"/>
          </w:tcPr>
          <w:p w:rsidR="00BE1E7C" w:rsidRDefault="00535824">
            <w:pPr>
              <w:pStyle w:val="Compact"/>
              <w:jc w:val="right"/>
            </w:pPr>
            <w:r>
              <w:t>11,447,106</w:t>
            </w:r>
          </w:p>
        </w:tc>
        <w:tc>
          <w:tcPr>
            <w:tcW w:w="0" w:type="auto"/>
          </w:tcPr>
          <w:p w:rsidR="00BE1E7C" w:rsidRDefault="00535824">
            <w:pPr>
              <w:pStyle w:val="Compact"/>
              <w:jc w:val="right"/>
            </w:pPr>
            <w:r>
              <w:t>0.97</w:t>
            </w:r>
          </w:p>
        </w:tc>
        <w:tc>
          <w:tcPr>
            <w:tcW w:w="0" w:type="auto"/>
          </w:tcPr>
          <w:p w:rsidR="00BE1E7C" w:rsidRDefault="00535824">
            <w:pPr>
              <w:pStyle w:val="Compact"/>
              <w:jc w:val="right"/>
            </w:pPr>
            <w:r>
              <w:t>0.03</w:t>
            </w:r>
          </w:p>
        </w:tc>
      </w:tr>
      <w:tr w:rsidR="00BE1E7C">
        <w:tc>
          <w:tcPr>
            <w:tcW w:w="0" w:type="auto"/>
          </w:tcPr>
          <w:p w:rsidR="00BE1E7C" w:rsidRDefault="00535824">
            <w:pPr>
              <w:pStyle w:val="Compact"/>
            </w:pPr>
            <w:r>
              <w:t>2015</w:t>
            </w:r>
          </w:p>
        </w:tc>
        <w:tc>
          <w:tcPr>
            <w:tcW w:w="0" w:type="auto"/>
          </w:tcPr>
          <w:p w:rsidR="00BE1E7C" w:rsidRDefault="00535824">
            <w:pPr>
              <w:pStyle w:val="Compact"/>
              <w:jc w:val="right"/>
            </w:pPr>
            <w:r>
              <w:t>204,141,864</w:t>
            </w:r>
          </w:p>
        </w:tc>
        <w:tc>
          <w:tcPr>
            <w:tcW w:w="0" w:type="auto"/>
          </w:tcPr>
          <w:p w:rsidR="00BE1E7C" w:rsidRDefault="00535824">
            <w:pPr>
              <w:pStyle w:val="Compact"/>
              <w:jc w:val="right"/>
            </w:pPr>
            <w:r>
              <w:t>8,421,498</w:t>
            </w:r>
          </w:p>
        </w:tc>
        <w:tc>
          <w:tcPr>
            <w:tcW w:w="0" w:type="auto"/>
          </w:tcPr>
          <w:p w:rsidR="00BE1E7C" w:rsidRDefault="00535824">
            <w:pPr>
              <w:pStyle w:val="Compact"/>
              <w:jc w:val="right"/>
            </w:pPr>
            <w:r>
              <w:t>0.96</w:t>
            </w:r>
          </w:p>
        </w:tc>
        <w:tc>
          <w:tcPr>
            <w:tcW w:w="0" w:type="auto"/>
          </w:tcPr>
          <w:p w:rsidR="00BE1E7C" w:rsidRDefault="00535824">
            <w:pPr>
              <w:pStyle w:val="Compact"/>
              <w:jc w:val="right"/>
            </w:pPr>
            <w:r>
              <w:t>0.04</w:t>
            </w:r>
          </w:p>
        </w:tc>
      </w:tr>
      <w:tr w:rsidR="00BE1E7C">
        <w:tc>
          <w:tcPr>
            <w:tcW w:w="0" w:type="auto"/>
          </w:tcPr>
          <w:p w:rsidR="00BE1E7C" w:rsidRDefault="00535824">
            <w:pPr>
              <w:pStyle w:val="Compact"/>
            </w:pPr>
            <w:r>
              <w:t>2016</w:t>
            </w:r>
          </w:p>
        </w:tc>
        <w:tc>
          <w:tcPr>
            <w:tcW w:w="0" w:type="auto"/>
          </w:tcPr>
          <w:p w:rsidR="00BE1E7C" w:rsidRDefault="00535824">
            <w:pPr>
              <w:pStyle w:val="Compact"/>
              <w:jc w:val="right"/>
            </w:pPr>
            <w:r>
              <w:t>370,497,301</w:t>
            </w:r>
          </w:p>
        </w:tc>
        <w:tc>
          <w:tcPr>
            <w:tcW w:w="0" w:type="auto"/>
          </w:tcPr>
          <w:p w:rsidR="00BE1E7C" w:rsidRDefault="00535824">
            <w:pPr>
              <w:pStyle w:val="Compact"/>
              <w:jc w:val="right"/>
            </w:pPr>
            <w:r>
              <w:t>13,229,239</w:t>
            </w:r>
          </w:p>
        </w:tc>
        <w:tc>
          <w:tcPr>
            <w:tcW w:w="0" w:type="auto"/>
          </w:tcPr>
          <w:p w:rsidR="00BE1E7C" w:rsidRDefault="00535824">
            <w:pPr>
              <w:pStyle w:val="Compact"/>
              <w:jc w:val="right"/>
            </w:pPr>
            <w:r>
              <w:t>0.97</w:t>
            </w:r>
          </w:p>
        </w:tc>
        <w:tc>
          <w:tcPr>
            <w:tcW w:w="0" w:type="auto"/>
          </w:tcPr>
          <w:p w:rsidR="00BE1E7C" w:rsidRDefault="00535824">
            <w:pPr>
              <w:pStyle w:val="Compact"/>
              <w:jc w:val="right"/>
            </w:pPr>
            <w:r>
              <w:t>0.03</w:t>
            </w:r>
          </w:p>
        </w:tc>
      </w:tr>
      <w:tr w:rsidR="00BE1E7C">
        <w:tc>
          <w:tcPr>
            <w:tcW w:w="0" w:type="auto"/>
          </w:tcPr>
          <w:p w:rsidR="00BE1E7C" w:rsidRDefault="00535824">
            <w:pPr>
              <w:pStyle w:val="Compact"/>
            </w:pPr>
            <w:r>
              <w:t>2017</w:t>
            </w:r>
          </w:p>
        </w:tc>
        <w:tc>
          <w:tcPr>
            <w:tcW w:w="0" w:type="auto"/>
          </w:tcPr>
          <w:p w:rsidR="00BE1E7C" w:rsidRDefault="00535824">
            <w:pPr>
              <w:pStyle w:val="Compact"/>
              <w:jc w:val="right"/>
            </w:pPr>
            <w:r>
              <w:t>435,389,194</w:t>
            </w:r>
          </w:p>
        </w:tc>
        <w:tc>
          <w:tcPr>
            <w:tcW w:w="0" w:type="auto"/>
          </w:tcPr>
          <w:p w:rsidR="00BE1E7C" w:rsidRDefault="00535824">
            <w:pPr>
              <w:pStyle w:val="Compact"/>
              <w:jc w:val="right"/>
            </w:pPr>
            <w:r>
              <w:t>14,530,047</w:t>
            </w:r>
          </w:p>
        </w:tc>
        <w:tc>
          <w:tcPr>
            <w:tcW w:w="0" w:type="auto"/>
          </w:tcPr>
          <w:p w:rsidR="00BE1E7C" w:rsidRDefault="00535824">
            <w:pPr>
              <w:pStyle w:val="Compact"/>
              <w:jc w:val="right"/>
            </w:pPr>
            <w:r>
              <w:t>0.97</w:t>
            </w:r>
          </w:p>
        </w:tc>
        <w:tc>
          <w:tcPr>
            <w:tcW w:w="0" w:type="auto"/>
          </w:tcPr>
          <w:p w:rsidR="00BE1E7C" w:rsidRDefault="00535824">
            <w:pPr>
              <w:pStyle w:val="Compact"/>
              <w:jc w:val="right"/>
            </w:pPr>
            <w:r>
              <w:t>0.03</w:t>
            </w:r>
          </w:p>
        </w:tc>
      </w:tr>
      <w:tr w:rsidR="00BE1E7C">
        <w:tc>
          <w:tcPr>
            <w:tcW w:w="0" w:type="auto"/>
          </w:tcPr>
          <w:p w:rsidR="00BE1E7C" w:rsidRDefault="00535824">
            <w:pPr>
              <w:pStyle w:val="Compact"/>
            </w:pPr>
            <w:r>
              <w:t>2018</w:t>
            </w:r>
          </w:p>
        </w:tc>
        <w:tc>
          <w:tcPr>
            <w:tcW w:w="0" w:type="auto"/>
          </w:tcPr>
          <w:p w:rsidR="00BE1E7C" w:rsidRDefault="00535824">
            <w:pPr>
              <w:pStyle w:val="Compact"/>
              <w:jc w:val="right"/>
            </w:pPr>
            <w:r>
              <w:t>390,536,066</w:t>
            </w:r>
          </w:p>
        </w:tc>
        <w:tc>
          <w:tcPr>
            <w:tcW w:w="0" w:type="auto"/>
          </w:tcPr>
          <w:p w:rsidR="00BE1E7C" w:rsidRDefault="00535824">
            <w:pPr>
              <w:pStyle w:val="Compact"/>
              <w:jc w:val="right"/>
            </w:pPr>
            <w:r>
              <w:t>13,812,257</w:t>
            </w:r>
          </w:p>
        </w:tc>
        <w:tc>
          <w:tcPr>
            <w:tcW w:w="0" w:type="auto"/>
          </w:tcPr>
          <w:p w:rsidR="00BE1E7C" w:rsidRDefault="00535824">
            <w:pPr>
              <w:pStyle w:val="Compact"/>
              <w:jc w:val="right"/>
            </w:pPr>
            <w:r>
              <w:t>0.97</w:t>
            </w:r>
          </w:p>
        </w:tc>
        <w:tc>
          <w:tcPr>
            <w:tcW w:w="0" w:type="auto"/>
          </w:tcPr>
          <w:p w:rsidR="00BE1E7C" w:rsidRDefault="00535824">
            <w:pPr>
              <w:pStyle w:val="Compact"/>
              <w:jc w:val="right"/>
            </w:pPr>
            <w:r>
              <w:t>0.03</w:t>
            </w:r>
          </w:p>
        </w:tc>
      </w:tr>
    </w:tbl>
    <w:p w:rsidR="00535824" w:rsidRDefault="00535824"/>
    <w:sectPr w:rsidR="005358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824" w:rsidRDefault="00535824">
      <w:pPr>
        <w:spacing w:after="0"/>
      </w:pPr>
      <w:r>
        <w:separator/>
      </w:r>
    </w:p>
  </w:endnote>
  <w:endnote w:type="continuationSeparator" w:id="0">
    <w:p w:rsidR="00535824" w:rsidRDefault="00535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824" w:rsidRDefault="00535824">
      <w:r>
        <w:separator/>
      </w:r>
    </w:p>
  </w:footnote>
  <w:footnote w:type="continuationSeparator" w:id="0">
    <w:p w:rsidR="00535824" w:rsidRDefault="00535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FAE0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784A1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16A43"/>
    <w:rsid w:val="004E29B3"/>
    <w:rsid w:val="00535824"/>
    <w:rsid w:val="00590D07"/>
    <w:rsid w:val="00784D58"/>
    <w:rsid w:val="008D6863"/>
    <w:rsid w:val="00B86B75"/>
    <w:rsid w:val="00BC48D5"/>
    <w:rsid w:val="00BE1E7C"/>
    <w:rsid w:val="00C36279"/>
    <w:rsid w:val="00DD5E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92B9"/>
  <w15:docId w15:val="{AC5F7C36-82CA-44EE-B90B-AF8DADBE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Allocating at-sea catch</dc:title>
  <dc:creator>Erin Steiner</dc:creator>
  <cp:keywords/>
  <cp:lastModifiedBy>Erin.Steiner</cp:lastModifiedBy>
  <cp:revision>3</cp:revision>
  <dcterms:created xsi:type="dcterms:W3CDTF">2020-07-31T18:51:00Z</dcterms:created>
  <dcterms:modified xsi:type="dcterms:W3CDTF">2020-07-31T18:53:00Z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7/31/2020</vt:lpwstr>
  </property>
  <property fmtid="{D5CDD505-2E9C-101B-9397-08002B2CF9AE}" pid="3" name="output">
    <vt:lpwstr>word_document</vt:lpwstr>
  </property>
</Properties>
</file>