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  <w:t xml:space="preserve">EXEMPLE D’INTERVENTION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  <w:t xml:space="preserve"> 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  <w:t xml:space="preserve">ÉCUPÉRATION SYSVOL / DFSR SUR DC UNIQUE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1"/>
          <w:shd w:fill="auto" w:val="clear"/>
        </w:rPr>
        <w:t xml:space="preserve">Document de référence interne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1"/>
          <w:shd w:fill="auto" w:val="clear"/>
        </w:rPr>
        <w:t xml:space="preserve"> cas similaire ADWS / Global Catalog / SYSVOL</w:t>
      </w:r>
    </w:p>
    <w:tbl>
      <w:tblPr/>
      <w:tblGrid>
        <w:gridCol w:w="5040"/>
        <w:gridCol w:w="5040"/>
      </w:tblGrid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Type de cas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Contrôleur de domaine unique avec alertes ADWS récurrentes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Symptôme principal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AD DS / Active Directory Web Services incapable de déterminer le Global Catalog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Cause réelle observée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DFSR / SYSVOL en erreur (contenu stale / Event 4012-9061)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Méthode de résolution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Récupération autoritative SYSVOL sur le DC unique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Usage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Référence technique interne pour cas similaire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Contexte type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Domaine Active Directory avec un seul DC encore actif.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Alertes récurrentes liées à ADWS / Global Catalog, alors que les services AD semblent globalement fonctionnels.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Historique de billets répétés sur le même serveur.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Le symptôme ADWS peut masquer un problème réel sur DFSR / SYSVOL.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Indices qui orientent le diagnostic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Le DC s’annonce correctement comme DC / LDAP / KDC / GC.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SYSVOL et NETLOGON peuvent encore être présents, mais dcdiag échoue sur DFSREvent.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Le journal DFS Replication contient des événements 4012 avec erreur 9061 indiquant un SYSVOL considéré stale.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Le domaine peut ne contenir qu’un seul DC visible, sans anciens objets DC évidents dans Sites and Services ou dans l’OU Domain Controllers.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Diagnostic retenu dans ce cas modèle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Le problème principal n’était pas ADWS lui-même.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La cause racine retenue était un blocage DFSR sur le dossier SYSVOL d’un DC unique.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Le dossier SYSVOL Share était en état d’erreur avant remédiation.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L’alerte ADWS / Global Catalog a été traitée comme un symptôme secondaire.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Garde-fous appliqués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Lecture seule d’abord.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Un seul serveur à la fois.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Aucun reboot non requis pendant l’analyse.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Backup de sécurité de C:\Windows\SYSVOL avant toute modification.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Validation post-remédiation obligatoire sur le DC.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 Déroulement résumé de l’intervention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Validation du domaine : un seul DC, seul GC, tous les rôles FSMO présents sur le même serveur.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Validation de l’état AD : services critiques OK, partages SYSVOL/NETLOGON présents, publicité AD valide.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Analyse dcdiag : échec DFSREvent.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Analyse DFS Replication : Event 4012 / Error 9061 répétés, SYSVOL bloqué.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Vérification AD : absence d’anciens objets DC évidents.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Sauvegarde pré-changement de SYSVOL.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Passage temporaire du service DFSR en Manual puis arrêt du service.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Modification de l’objet SYSVOL Subscription : msDFSR-Enabled=False puis msDFSR-Options=1.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Redémarrage DFSR et validation de l’Event 4114.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Réactivation de l’abonnement : msDFSR-Enabled=True.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Forçage de relecture de la configuration DFSR (équivalent PollAD).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Validation de l’Event 4602 confirmant l’initialisation réussie de SYSVOL.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Remise du service DFSR en Automatic.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Post-check final : SYSVOL / NETLOGON présents, dcdiag /test:advertising /test:netlogons /test:sysvolcheck sans erreur.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6. Signaux de validation finale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DFSR = Running / Automatic.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Présence des partages SYSVOL et NETLOGON.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Event 4602 dans le journal DFS Replication.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Aucune erreur sur dcdiag /test:advertising /test:netlogons /test:sysvolcheck /q.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7. Runbooks / références utilisés dans ce cas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INFRA-AD-DC_PrePost_Validation_V2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contr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ôles AD/DNS/DC post-intervention.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GUARDRAILS__IT_AGENTS_MASTER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garde-fous d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intervention MSP.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TEMPLATE_BUNDLE_CW_CLOSE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g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énération des livrables CW de clôture.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Références Microsoft consultées pendant le cas : récupération autoritative/non autoritative SYSVOL DFSR, et dépannage des partages SYSVOL / NETLOGON.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8. Quand réutiliser ce modèle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Alerte ADWS / Global Catalog récurrente sur DC.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DFSR 4012 / 9061 présents sur SYSVOL.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Contexte single-DC ou topologie ayant été réduite récemment.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Besoin d’une séquence contrôlée de récupération SYSVOL avec validation forte.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9. Points d’attention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Ne pas conclure trop vite à un faux positif ADWS tant que DFSR / SYSVOL n’est pas vérifié.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Sur un DC unique, toute correction SYSVOL doit être précédée d’une copie de sécurité.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Toujours terminer par un post-check AD complet et une surveillance 24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48 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Ce document est volontairement anonymisé et structuré comme un exemple réutilisable. Il ne remplace pas la validation en lecture seule ni les garde-fous applicables à chaque billet.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5">
    <w:abstractNumId w:val="48"/>
  </w:num>
  <w:num w:numId="17">
    <w:abstractNumId w:val="42"/>
  </w:num>
  <w:num w:numId="19">
    <w:abstractNumId w:val="36"/>
  </w:num>
  <w:num w:numId="21">
    <w:abstractNumId w:val="30"/>
  </w:num>
  <w:num w:numId="23">
    <w:abstractNumId w:val="24"/>
  </w:num>
  <w:num w:numId="25">
    <w:abstractNumId w:val="18"/>
  </w:num>
  <w:num w:numId="27">
    <w:abstractNumId w:val="12"/>
  </w:num>
  <w:num w:numId="29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