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scfastq-qc: structure-aware quality control and filtering for single-cell long-read FASTQ libraries</w:t>
      </w:r>
    </w:p>
    <w:p>
      <w:pPr>
        <w:spacing w:after="120" w:line="259" w:lineRule="auto"/>
      </w:pPr>
      <w:r>
        <w:t>[Author names and affiliations to be added]</w:t>
      </w:r>
    </w:p>
    <w:p>
      <w:pPr>
        <w:spacing w:after="120" w:line="259" w:lineRule="auto"/>
      </w:pPr>
      <w:r>
        <w:t>Correspondence: [corresponding author email]</w:t>
      </w:r>
    </w:p>
    <w:p>
      <w:pPr>
        <w:spacing w:after="120" w:line="259" w:lineRule="auto"/>
      </w:pPr>
      <w:r>
        <w:t>Manuscript type: Software / methods article for Bioinformatics</w:t>
      </w:r>
    </w:p>
    <w:p>
      <w:pPr>
        <w:pStyle w:val="Heading1"/>
      </w:pPr>
      <w:r>
        <w:t>Abstract</w:t>
      </w:r>
    </w:p>
    <w:p>
      <w:pPr>
        <w:pStyle w:val="Heading2"/>
      </w:pPr>
      <w:r>
        <w:t>Motivation</w:t>
      </w:r>
    </w:p>
    <w:p>
      <w:pPr>
        <w:spacing w:after="120" w:line="259" w:lineRule="auto"/>
      </w:pPr>
      <w:r>
        <w:t>Single-cell long-read sequencing libraries preserve molecular context that is difficult to inspect with generic FASTQ quality-control tools alone. In these assays, read usability depends not only on length and base-level quality, but also on whether expected molecular features such as terminal adapters, cell-barcode-associated sequence, primers, or poly(A) tracts are present in the correct order and orientation. Existing generic long-read QC reports summarize sequence yield and quality distributions, but they do not directly evaluate whether each read conforms to a user-defined single-cell library architecture.</w:t>
      </w:r>
    </w:p>
    <w:p>
      <w:pPr>
        <w:pStyle w:val="Heading2"/>
      </w:pPr>
      <w:r>
        <w:t>Results</w:t>
      </w:r>
    </w:p>
    <w:p>
      <w:pPr>
        <w:spacing w:after="120" w:line="259" w:lineRule="auto"/>
      </w:pPr>
      <w:r>
        <w:t>We introduce scfastq-qc, a Python command-line tool for structure-aware quality control and read filtering of single-cell long-read FASTQ files. The method accepts a JSON description of expected anchor motifs and their ordering, searches each read and its reverse complement, assigns a library-structure class, and combines this information with read length, Phred quality, terminal-offset, ambiguous-base, and invalid-base checks. It produces self-contained interactive HTML reports, machine-readable JSON summaries, optional CSV exports, and optional passed/failed FASTQ files. On two 10,000-read example datasets included with the repository, scfastq-qc recovered full expected structure in 56.26% and 54.78% of reads, identified low-quality, missing-anchor, internal-adapter, truncation, and concatemer-like failure modes, and highlighted a strong orientation difference between the two examples. These outputs illustrate how structure-aware QC can diagnose library construction and sequencing issues before downstream single-cell long-read analysis.</w:t>
      </w:r>
    </w:p>
    <w:p>
      <w:pPr>
        <w:pStyle w:val="Heading2"/>
      </w:pPr>
      <w:r>
        <w:t>Availability and implementation</w:t>
      </w:r>
    </w:p>
    <w:p>
      <w:pPr>
        <w:spacing w:after="120" w:line="259" w:lineRule="auto"/>
      </w:pPr>
      <w:r>
        <w:t>scfastq-qc is implemented in Python 3.10+ with an optional Rust accelerator for fixed-anchor search. The current source code is available in the accompanying repository; a public repository URL, software license, archival DOI, and package-distribution information should be added before submission.</w:t>
      </w:r>
    </w:p>
    <w:p>
      <w:pPr>
        <w:pStyle w:val="Heading1"/>
      </w:pPr>
      <w:r>
        <w:t>Introduction</w:t>
      </w:r>
    </w:p>
    <w:p>
      <w:pPr>
        <w:spacing w:after="120" w:line="259" w:lineRule="auto"/>
      </w:pPr>
      <w:r>
        <w:t>Quality control is a critical checkpoint in sequencing-data analysis because undetected technical artifacts can propagate into alignment, quantification, isoform discovery, cell assignment, and downstream biological interpretation. For single-cell RNA-seq and related assays, QC reporting is often most useful when it reflects the structure of the assay rather than only generic yield and quality metrics. The Bioinformatics software-article model exemplified by QCatch frames QC tools around this need: a tool should consolidate complex processing outputs into clear, reproducible reports tailored to the data type and workflow being assessed.</w:t>
      </w:r>
    </w:p>
    <w:p>
      <w:pPr>
        <w:spacing w:after="120" w:line="259" w:lineRule="auto"/>
      </w:pPr>
      <w:r>
        <w:t>Single-cell long-read sequencing creates an additional QC problem. Long reads can contain full-length or near-full-length molecules, but their interpretability depends on recovering the molecular architecture of the library. A usable read may be expected to contain a 5-prime adapter, barcode-adjacent sequence, transcript body, and 3-prime poly(A)-related signal in a specific order. Conversely, a read can have acceptable base quality but still be uninformative if terminal anchors are missing, anchors occur internally, motifs appear in an unexpected order, or the best explanation of the read is a reverse-complement orientation. These failure modes are not sufficiently captured by aggregate length, N50, or per-base quality summaries.</w:t>
      </w:r>
    </w:p>
    <w:p>
      <w:pPr>
        <w:spacing w:after="120" w:line="259" w:lineRule="auto"/>
      </w:pPr>
      <w:r>
        <w:t>Generic tools such as FastQC and long-read-oriented tools such as NanoPlot are valuable for broad sequencing diagnostics, including quality-score and read-length distributions. However, they are not designed to evaluate a user-defined molecular grammar for single-cell long-read libraries. Similarly, library-specific preprocessing tools may trim or orient reads for a particular protocol, but the resulting decisions are not always available as an interactive, sample-level QC report that exposes structural failure modes and filtering consequences.</w:t>
      </w:r>
    </w:p>
    <w:p>
      <w:pPr>
        <w:spacing w:after="120" w:line="259" w:lineRule="auto"/>
      </w:pPr>
      <w:r>
        <w:t>To address this gap, we developed scfastq-qc, a lightweight and configurable command-line tool for structure-aware FASTQ QC. The central design is to separate assay knowledge from the program logic: users define named anchors, matching rules, expected order, and QC thresholds in a JSON configuration file, while the software applies a consistent streaming analysis to each read. The output is intended to help users answer practical questions: whether expected motifs are detectable, whether they occur in the correct order, whether a library shows truncation or internal-adapter signatures, whether reads are mixed between orientations, and which reads should be retained for downstream analysis.</w:t>
      </w:r>
    </w:p>
    <w:p>
      <w:pPr>
        <w:pStyle w:val="Heading1"/>
      </w:pPr>
      <w:r>
        <w:t>Methods</w:t>
      </w:r>
    </w:p>
    <w:p>
      <w:pPr>
        <w:pStyle w:val="Heading2"/>
      </w:pPr>
      <w:r>
        <w:t>Datasets</w:t>
      </w:r>
    </w:p>
    <w:p>
      <w:pPr>
        <w:spacing w:after="120" w:line="259" w:lineRule="auto"/>
      </w:pPr>
      <w:r>
        <w:t>The repository includes two example FASTQ files, each containing 10,000 reads, together with a JSON configuration defining two anchors: a fixed 5-prime adapter sequence, CGACATGGCTACGATCCGACTT, allowing one mismatch, and a regular-expression poly(A) anchor, A{8,}. The expected structure places the 5-prime adapter before the poly(A) anchor. Example thresholds set the minimum long-read length to 200 bp and the minimum read Q-score to 13. These examples are used here as a demonstration dataset for report content and method behavior, not as a benchmark of biological performance.</w:t>
      </w:r>
    </w:p>
    <w:p>
      <w:pPr>
        <w:pStyle w:val="Heading2"/>
      </w:pPr>
      <w:r>
        <w:t>Design and implementation</w:t>
      </w:r>
    </w:p>
    <w:p>
      <w:pPr>
        <w:spacing w:after="120" w:line="259" w:lineRule="auto"/>
      </w:pPr>
      <w:r>
        <w:t>scfastq-qc is distributed as a Python package exposing a command-line entry point, scfastq-qc. The command line supports single-file execution and batch execution. In single-file mode, the user provides a FASTQ or FASTQ.GZ file, a JSON configuration, an output directory, and optional flags for CSV export and passed/failed FASTQ output. In batch mode, the tool accepts a directory, a file list, or a samples list embedded in the configuration file, and can process multiple samples concurrently. The software streams FASTQ records and therefore does not require loading the entire input file into memory.</w:t>
      </w:r>
    </w:p>
    <w:p>
      <w:pPr>
        <w:spacing w:after="120" w:line="259" w:lineRule="auto"/>
      </w:pPr>
      <w:r>
        <w:t>The configuration model contains four main components: sample metadata, anchor definitions, expected structure, and QC thresholds. Anchors can be fixed sequences or regular expressions. Fixed anchors support approximate matching through a bounded mismatch parameter, while regex anchors support motifs such as homopolymer or degenerate sequence patterns. Thresholds control read-level decisions, including minimum read length, minimum read Q-score, maximum allowed terminal-anchor offset, high-N fraction, and sample-level warn/fail cutoffs for reporting.</w:t>
      </w:r>
    </w:p>
    <w:p>
      <w:pPr>
        <w:spacing w:after="120" w:line="259" w:lineRule="auto"/>
      </w:pPr>
      <w:r>
        <w:t>For speed, scfastq-qc includes an optional Rust shared library for fixed anchor search. When available, the Python layer loads this library through ctypes. If the shared library is absent or cannot be built, the program falls back to a pure-Python implementation. The fallback uses exact search for zero-mismatch anchors and a segment-seeding strategy for approximate fixed-anchor search: a motif is split into max_mismatches + 1 segments, candidate positions are seeded by exact segment matches, and candidate windows are accepted only if their bounded Hamming distance is within the configured mismatch limit. Regex anchors are evaluated with Python regular expressions.</w:t>
      </w:r>
    </w:p>
    <w:p>
      <w:pPr>
        <w:pStyle w:val="Heading2"/>
      </w:pPr>
      <w:r>
        <w:t>Read-level structure classification</w:t>
      </w:r>
    </w:p>
    <w:p>
      <w:pPr>
        <w:spacing w:after="120" w:line="259" w:lineRule="auto"/>
      </w:pPr>
      <w:r>
        <w:t>For each FASTQ record, scfastq-qc searches for all configured anchors in the observed sequence and in the reverse complement. Anchor hits are sorted by genomic position and summarized into an ordered list of detected anchor names. The forward and reverse-complement interpretations are then scored by order validity, structure-label priority, number of detected anchors, number of hits, and total mismatch burden. The orientation with the higher score is retained as the best structural explanation of the read.</w:t>
      </w:r>
    </w:p>
    <w:p>
      <w:pPr>
        <w:spacing w:after="120" w:line="259" w:lineRule="auto"/>
      </w:pPr>
      <w:r>
        <w:t>The classifier assigns mutually interpretable structure labels. Reads with all expected anchors in the expected order are labeled full_structure. Reads without anchor hits are labeled no_anchor_detected. Partial reads are labeled according to missing terminal anchors where possible, while repeated or internal motifs are assigned labels such as duplicated_anchor, internal_5p_anchor, internal_3p_anchor, or concatemer_candidate. This label set is designed to expose failure modes that are actionable during library construction review or downstream read filtering.</w:t>
      </w:r>
    </w:p>
    <w:p>
      <w:pPr>
        <w:pStyle w:val="Heading2"/>
      </w:pPr>
      <w:r>
        <w:t>Read-level QC buckets and sample-level verdicts</w:t>
      </w:r>
    </w:p>
    <w:p>
      <w:pPr>
        <w:spacing w:after="120" w:line="259" w:lineRule="auto"/>
      </w:pPr>
      <w:r>
        <w:t>Structure classification is combined with conventional FASTQ checks to produce a primary read-level QC bucket. The decision logic checks empty reads, minimum length, read Q-score, high-N fraction, invalid bases, missing anchors, unexpected anchor order, internal adapter evidence, concatemer-like patterns, terminal truncation, and dense anchor hits. A priority ordering assigns each read to one primary bucket, with pass reserved for reads that satisfy both basic quality and structural criteria.</w:t>
      </w:r>
    </w:p>
    <w:p>
      <w:pPr>
        <w:spacing w:after="120" w:line="259" w:lineRule="auto"/>
      </w:pPr>
      <w:r>
        <w:t>At the sample level, scfastq-qc summarizes total reads, total bases, mean and median read length, N50, minimum and maximum read length, median read Q-score, long high-quality ratio, reversed-read ratio, truncation ratios, high-N ratio, invalid-base ratio, anchor detection ratios, anchor mismatch burden, structure counts, orientation counts, and QC-bucket counts. Configured warn/fail thresholds are applied to key metrics, including long high-quality ratio, correct anchor-order ratio, no-anchor ratio, reversed-read ratio, and high-N read ratio, yielding an overall pass, warn, or fail status.</w:t>
      </w:r>
    </w:p>
    <w:p>
      <w:pPr>
        <w:pStyle w:val="Heading2"/>
      </w:pPr>
      <w:r>
        <w:t>Reports and exports</w:t>
      </w:r>
    </w:p>
    <w:p>
      <w:pPr>
        <w:spacing w:after="120" w:line="259" w:lineRule="auto"/>
      </w:pPr>
      <w:r>
        <w:t>The primary output is a self-contained HTML report. It includes run configuration, threshold-based QC verdicts, overview cards, read-length and Q-score distributions, anchor detection and mismatch summaries, anchor position tracks, structure-classification plots, QC-bucket plots, and a read-structure heatmap. The report is generated without external web dependencies, enabling local review and archiving. The tool also writes summary.json for programmatic reuse. When requested, it exports summary CSV files, read-level CSV files, anchor-hit CSV files, passed.fastq, failed.fastq, and optionally FASTQs grouped by non-full structure class.</w:t>
      </w:r>
    </w:p>
    <w:p>
      <w:pPr>
        <w:pStyle w:val="Heading1"/>
      </w:pPr>
      <w:r>
        <w:t>Results</w:t>
      </w:r>
    </w:p>
    <w:p>
      <w:pPr>
        <w:pStyle w:val="Heading2"/>
      </w:pPr>
      <w:r>
        <w:t>Example run summary</w:t>
      </w:r>
    </w:p>
    <w:p>
      <w:pPr>
        <w:spacing w:after="120" w:line="259" w:lineRule="auto"/>
      </w:pPr>
      <w:r>
        <w:t>We applied scfastq-qc to the two example 10,000-read FASTQ files included with the repository. Both samples completed successfully in batch mode, and the batch report summarized per-sample total reads, long high-quality ratio, correct-anchor-order ratio, and overall QC status. The first example contained 8.65 Mb of sequence, with a median read length of 745 bp, N50 of 926 bp, and median read Q-score of 15.58. The second example contained 7.48 Mb of sequence, with a median read length of 685 bp, N50 of 769 bp, and median read Q-score of 15.07.</w:t>
      </w:r>
    </w:p>
    <w:p>
      <w:r>
        <w:rPr>
          <w:b/>
        </w:rPr>
        <w:t>Table 1. Example dataset summary</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Metric</w:t>
            </w:r>
          </w:p>
        </w:tc>
        <w:tc>
          <w:tcPr>
            <w:tcW w:type="dxa" w:w="3264"/>
          </w:tcPr>
          <w:p>
            <w:r>
              <w:rPr>
                <w:b/>
              </w:rPr>
              <w:t>real_10k_1</w:t>
            </w:r>
          </w:p>
        </w:tc>
        <w:tc>
          <w:tcPr>
            <w:tcW w:type="dxa" w:w="3264"/>
          </w:tcPr>
          <w:p>
            <w:r>
              <w:rPr>
                <w:b/>
              </w:rPr>
              <w:t>real_10k_2</w:t>
            </w:r>
          </w:p>
        </w:tc>
      </w:tr>
      <w:tr>
        <w:tc>
          <w:tcPr>
            <w:tcW w:type="dxa" w:w="3264"/>
          </w:tcPr>
          <w:p>
            <w:r>
              <w:t>Total reads</w:t>
            </w:r>
          </w:p>
        </w:tc>
        <w:tc>
          <w:tcPr>
            <w:tcW w:type="dxa" w:w="3264"/>
          </w:tcPr>
          <w:p>
            <w:r>
              <w:t>10,000</w:t>
            </w:r>
          </w:p>
        </w:tc>
        <w:tc>
          <w:tcPr>
            <w:tcW w:type="dxa" w:w="3264"/>
          </w:tcPr>
          <w:p>
            <w:r>
              <w:t>10,000</w:t>
            </w:r>
          </w:p>
        </w:tc>
      </w:tr>
      <w:tr>
        <w:tc>
          <w:tcPr>
            <w:tcW w:type="dxa" w:w="3264"/>
          </w:tcPr>
          <w:p>
            <w:r>
              <w:t>Total bases</w:t>
            </w:r>
          </w:p>
        </w:tc>
        <w:tc>
          <w:tcPr>
            <w:tcW w:type="dxa" w:w="3264"/>
          </w:tcPr>
          <w:p>
            <w:r>
              <w:t>8,650,110</w:t>
            </w:r>
          </w:p>
        </w:tc>
        <w:tc>
          <w:tcPr>
            <w:tcW w:type="dxa" w:w="3264"/>
          </w:tcPr>
          <w:p>
            <w:r>
              <w:t>7,475,020</w:t>
            </w:r>
          </w:p>
        </w:tc>
      </w:tr>
      <w:tr>
        <w:tc>
          <w:tcPr>
            <w:tcW w:type="dxa" w:w="3264"/>
          </w:tcPr>
          <w:p>
            <w:r>
              <w:t>Median read length</w:t>
            </w:r>
          </w:p>
        </w:tc>
        <w:tc>
          <w:tcPr>
            <w:tcW w:type="dxa" w:w="3264"/>
          </w:tcPr>
          <w:p>
            <w:r>
              <w:t>745 bp</w:t>
            </w:r>
          </w:p>
        </w:tc>
        <w:tc>
          <w:tcPr>
            <w:tcW w:type="dxa" w:w="3264"/>
          </w:tcPr>
          <w:p>
            <w:r>
              <w:t>685 bp</w:t>
            </w:r>
          </w:p>
        </w:tc>
      </w:tr>
      <w:tr>
        <w:tc>
          <w:tcPr>
            <w:tcW w:type="dxa" w:w="3264"/>
          </w:tcPr>
          <w:p>
            <w:r>
              <w:t>N50</w:t>
            </w:r>
          </w:p>
        </w:tc>
        <w:tc>
          <w:tcPr>
            <w:tcW w:type="dxa" w:w="3264"/>
          </w:tcPr>
          <w:p>
            <w:r>
              <w:t>926 bp</w:t>
            </w:r>
          </w:p>
        </w:tc>
        <w:tc>
          <w:tcPr>
            <w:tcW w:type="dxa" w:w="3264"/>
          </w:tcPr>
          <w:p>
            <w:r>
              <w:t>769 bp</w:t>
            </w:r>
          </w:p>
        </w:tc>
      </w:tr>
      <w:tr>
        <w:tc>
          <w:tcPr>
            <w:tcW w:type="dxa" w:w="3264"/>
          </w:tcPr>
          <w:p>
            <w:r>
              <w:t>Median read Q-score</w:t>
            </w:r>
          </w:p>
        </w:tc>
        <w:tc>
          <w:tcPr>
            <w:tcW w:type="dxa" w:w="3264"/>
          </w:tcPr>
          <w:p>
            <w:r>
              <w:t>15.58</w:t>
            </w:r>
          </w:p>
        </w:tc>
        <w:tc>
          <w:tcPr>
            <w:tcW w:type="dxa" w:w="3264"/>
          </w:tcPr>
          <w:p>
            <w:r>
              <w:t>15.07</w:t>
            </w:r>
          </w:p>
        </w:tc>
      </w:tr>
      <w:tr>
        <w:tc>
          <w:tcPr>
            <w:tcW w:type="dxa" w:w="3264"/>
          </w:tcPr>
          <w:p>
            <w:r>
              <w:t>Long high-quality ratio</w:t>
            </w:r>
          </w:p>
        </w:tc>
        <w:tc>
          <w:tcPr>
            <w:tcW w:type="dxa" w:w="3264"/>
          </w:tcPr>
          <w:p>
            <w:r>
              <w:t>86.06%</w:t>
            </w:r>
          </w:p>
        </w:tc>
        <w:tc>
          <w:tcPr>
            <w:tcW w:type="dxa" w:w="3264"/>
          </w:tcPr>
          <w:p>
            <w:r>
              <w:t>82.23%</w:t>
            </w:r>
          </w:p>
        </w:tc>
      </w:tr>
      <w:tr>
        <w:tc>
          <w:tcPr>
            <w:tcW w:type="dxa" w:w="3264"/>
          </w:tcPr>
          <w:p>
            <w:r>
              <w:t>Full-structure reads</w:t>
            </w:r>
          </w:p>
        </w:tc>
        <w:tc>
          <w:tcPr>
            <w:tcW w:type="dxa" w:w="3264"/>
          </w:tcPr>
          <w:p>
            <w:r>
              <w:t>56.26%</w:t>
            </w:r>
          </w:p>
        </w:tc>
        <w:tc>
          <w:tcPr>
            <w:tcW w:type="dxa" w:w="3264"/>
          </w:tcPr>
          <w:p>
            <w:r>
              <w:t>54.78%</w:t>
            </w:r>
          </w:p>
        </w:tc>
      </w:tr>
      <w:tr>
        <w:tc>
          <w:tcPr>
            <w:tcW w:type="dxa" w:w="3264"/>
          </w:tcPr>
          <w:p>
            <w:r>
              <w:t>Reversed-read ratio</w:t>
            </w:r>
          </w:p>
        </w:tc>
        <w:tc>
          <w:tcPr>
            <w:tcW w:type="dxa" w:w="3264"/>
          </w:tcPr>
          <w:p>
            <w:r>
              <w:t>2.85%</w:t>
            </w:r>
          </w:p>
        </w:tc>
        <w:tc>
          <w:tcPr>
            <w:tcW w:type="dxa" w:w="3264"/>
          </w:tcPr>
          <w:p>
            <w:r>
              <w:t>49.17%</w:t>
            </w:r>
          </w:p>
        </w:tc>
      </w:tr>
      <w:tr>
        <w:tc>
          <w:tcPr>
            <w:tcW w:type="dxa" w:w="3264"/>
          </w:tcPr>
          <w:p>
            <w:r>
              <w:t>Overall verdict</w:t>
            </w:r>
          </w:p>
        </w:tc>
        <w:tc>
          <w:tcPr>
            <w:tcW w:type="dxa" w:w="3264"/>
          </w:tcPr>
          <w:p>
            <w:r>
              <w:t>warn</w:t>
            </w:r>
          </w:p>
        </w:tc>
        <w:tc>
          <w:tcPr>
            <w:tcW w:type="dxa" w:w="3264"/>
          </w:tcPr>
          <w:p>
            <w:r>
              <w:t>warn</w:t>
            </w:r>
          </w:p>
        </w:tc>
      </w:tr>
    </w:tbl>
    <w:p/>
    <w:p>
      <w:pPr>
        <w:spacing w:after="120" w:line="259" w:lineRule="auto"/>
      </w:pPr>
      <w:r>
        <w:t>The demonstration also shows why structure-aware reporting is informative. Both examples passed the configured long-read quality criterion, with long high-quality ratios above 80%. However, both were assigned an overall warn status because the fraction of reads with correct anchor order was below the configured warning threshold. This distinction would be difficult to infer from length and quality distributions alone.</w:t>
      </w:r>
    </w:p>
    <w:p>
      <w:pPr>
        <w:pStyle w:val="Heading2"/>
      </w:pPr>
      <w:r>
        <w:t>Anchor detection and structural failure modes</w:t>
      </w:r>
    </w:p>
    <w:p>
      <w:pPr>
        <w:spacing w:after="120" w:line="259" w:lineRule="auto"/>
      </w:pPr>
      <w:r>
        <w:t>The 5-prime adapter was detected in 73.24% and 73.80% of reads in the two examples, while the poly(A) anchor was detected in 95.53% and 95.98% of reads. The mean best-hit mismatch burden for the fixed 5-prime adapter was approximately 0.125 in both examples, consistent with near-exact recovery under the configured one-mismatch rule. The poly(A) anchor showed higher multi-hit ratios, 19.02% and 21.20%, reflecting the expected ambiguity of homopolymer-like sequence patterns and the need to interpret motif multiplicity alongside detection rate.</w:t>
      </w:r>
    </w:p>
    <w:p>
      <w:pPr>
        <w:spacing w:after="120" w:line="259" w:lineRule="auto"/>
      </w:pPr>
      <w:r>
        <w:t>Structure labels separated read populations into interpretable classes. In real_10k_1, 5,626 reads were classified as full_structure, 2,110 as missing_5p_anchor, 1,817 as internal_3p_anchor, 354 as missing_3p_anchor, and 93 as no_anchor_detected. In real_10k_2, 5,478 reads were classified as full_structure, 2,049 as missing_5p_anchor, 1,928 as internal_3p_anchor, 292 as missing_3p_anchor, 108 as concatemer_candidate, 36 as internal_5p_anchor, 4 as anchor_order_invalid, and 105 as no_anchor_detected. These labels give users a direct vocabulary for distinguishing absent anchors, internal adapter-like signatures, and concatemer-like patterns.</w:t>
      </w:r>
    </w:p>
    <w:p>
      <w:pPr>
        <w:pStyle w:val="Heading2"/>
      </w:pPr>
      <w:r>
        <w:t>Orientation-aware QC</w:t>
      </w:r>
    </w:p>
    <w:p>
      <w:pPr>
        <w:spacing w:after="120" w:line="259" w:lineRule="auto"/>
      </w:pPr>
      <w:r>
        <w:t>The two examples differed markedly in orientation composition. In real_10k_1, only 2.85% of reads were best explained by the reverse-complement orientation, and nearly all full-structure reads were forward. In real_10k_2, 49.17% of reads were best explained as reversed, including 2,753 of 5,478 full-structure reads. This sample-level difference was captured by the reversed-read verdict, which remained pass for the first example and warn for the second. Such orientation-aware summaries are useful when sequencing or preprocessing protocols can yield mixed strand representations.</w:t>
      </w:r>
    </w:p>
    <w:p>
      <w:pPr>
        <w:pStyle w:val="Heading2"/>
      </w:pPr>
      <w:r>
        <w:t>Filtering outputs</w:t>
      </w:r>
    </w:p>
    <w:p>
      <w:pPr>
        <w:spacing w:after="120" w:line="259" w:lineRule="auto"/>
      </w:pPr>
      <w:r>
        <w:t>When passed and failed FASTQ export was enabled, scfastq-qc wrote 5,095 passed reads and 4,905 failed reads for real_10k_1, and 4,573 passed reads and 5,427 failed reads for real_10k_2. The dominant non-pass buckets were internal_adapter, missing_5p, and low_read_q in the first example, and low_read_q, internal_adapter, and missing_5p in the second. Because the program also writes machine-readable summaries, users can tune thresholds or inspect individual read-level calls before committing to downstream filtering.</w:t>
      </w:r>
    </w:p>
    <w:p>
      <w:pPr>
        <w:pStyle w:val="Heading1"/>
      </w:pPr>
      <w:r>
        <w:t>Discussion</w:t>
      </w:r>
    </w:p>
    <w:p>
      <w:pPr>
        <w:spacing w:after="120" w:line="259" w:lineRule="auto"/>
      </w:pPr>
      <w:r>
        <w:t>scfastq-qc addresses a practical gap in single-cell long-read workflows by making library structure a first-class QC object. Instead of treating FASTQ QC as only a question of length and base quality, it asks whether reads carry the expected molecular features in the expected orientation and order. This design is especially useful for assays in which successful downstream interpretation depends on recovering terminal adapters, barcode-proximal segments, transcript bodies, and poly(A)-associated sequence features from noisy long reads.</w:t>
      </w:r>
    </w:p>
    <w:p>
      <w:pPr>
        <w:spacing w:after="120" w:line="259" w:lineRule="auto"/>
      </w:pPr>
      <w:r>
        <w:t>The method is intentionally configurable. Users can adapt anchor definitions and expected order to different library designs without changing the source code. Fixed anchors support approximate matching, which is important for long-read data where substitutions can occur, while regex anchors allow simple representation of motifs such as poly(A) tracts. The combination of orientation-aware classification, terminal-offset checks, internal-anchor labels, and batch reporting provides a compact but detailed view of sample quality.</w:t>
      </w:r>
    </w:p>
    <w:p>
      <w:pPr>
        <w:spacing w:after="120" w:line="259" w:lineRule="auto"/>
      </w:pPr>
      <w:r>
        <w:t>The current implementation has limitations that should be addressed before final submission. First, the example data demonstrate functionality but do not constitute a broad benchmark across protocols, chemistries, sequencers, or biological samples. Second, fixed-anchor approximate matching currently uses bounded Hamming distance after segment seeding; it does not model insertions and deletions as an edit-distance aligner would. Third, the best-orientation score is heuristic, and users should validate behavior for protocols with unusual or repeated motif structures. Fourth, the manuscript should include software tests, runtime benchmarks, public installation instructions, license information, and an archival DOI before submission.</w:t>
      </w:r>
    </w:p>
    <w:p>
      <w:pPr>
        <w:spacing w:after="120" w:line="259" w:lineRule="auto"/>
      </w:pPr>
      <w:r>
        <w:t>Future development can extend scfastq-qc in several directions. Protocol templates could reduce configuration burden for common single-cell long-read assays. Edit-distance matching or minimizer-based motif search could improve indel tolerance. Barcode-aware modules could connect structure-level QC to cell-level summaries. Finally, integrating report outputs with workflow systems would make structure-aware QC easier to run as a routine step in reproducible sequencing pipelines.</w:t>
      </w:r>
    </w:p>
    <w:p>
      <w:pPr>
        <w:pStyle w:val="Heading1"/>
      </w:pPr>
      <w:r>
        <w:t>Availability and implementation</w:t>
      </w:r>
    </w:p>
    <w:p>
      <w:pPr>
        <w:spacing w:after="120" w:line="259" w:lineRule="auto"/>
      </w:pPr>
      <w:r>
        <w:t>The software is implemented in Python 3.10+ with an optional Rust accelerator. It is currently available in the accompanying source repository. Before submission, add the public GitHub URL, permanent archive DOI, software license, package version, installation channels, documentation URL, and example command lines verified from a clean environment.</w:t>
      </w:r>
    </w:p>
    <w:p>
      <w:pPr>
        <w:pStyle w:val="Heading1"/>
      </w:pPr>
      <w:r>
        <w:t>Data availability</w:t>
      </w:r>
    </w:p>
    <w:p>
      <w:pPr>
        <w:spacing w:after="120" w:line="259" w:lineRule="auto"/>
      </w:pPr>
      <w:r>
        <w:t>The demonstration FASTQ files and configuration used in this draft are included in the local repository under examples2/. If these data are not intended for public release, replace them with a public dataset or deposit an appropriate demonstration dataset in a stable repository before submission.</w:t>
      </w:r>
    </w:p>
    <w:p>
      <w:pPr>
        <w:pStyle w:val="Heading1"/>
      </w:pPr>
      <w:r>
        <w:t>Author contributions</w:t>
      </w:r>
    </w:p>
    <w:p>
      <w:pPr>
        <w:spacing w:after="120" w:line="259" w:lineRule="auto"/>
      </w:pPr>
      <w:r>
        <w:t>[To be completed according to the final author list. Suggested CRediT roles: Conceptualization, Methodology, Software, Validation, Visualization, Writing - original draft, Writing - review and editing.]</w:t>
      </w:r>
    </w:p>
    <w:p>
      <w:pPr>
        <w:pStyle w:val="Heading1"/>
      </w:pPr>
      <w:r>
        <w:t>Funding</w:t>
      </w:r>
    </w:p>
    <w:p>
      <w:pPr>
        <w:spacing w:after="120" w:line="259" w:lineRule="auto"/>
      </w:pPr>
      <w:r>
        <w:t>[To be completed.]</w:t>
      </w:r>
    </w:p>
    <w:p>
      <w:pPr>
        <w:pStyle w:val="Heading1"/>
      </w:pPr>
      <w:r>
        <w:t>Conflict of interest</w:t>
      </w:r>
    </w:p>
    <w:p>
      <w:pPr>
        <w:spacing w:after="120" w:line="259" w:lineRule="auto"/>
      </w:pPr>
      <w:r>
        <w:t>The authors declare no competing interests. [Confirm before submission.]</w:t>
      </w:r>
    </w:p>
    <w:p>
      <w:pPr>
        <w:pStyle w:val="Heading1"/>
      </w:pPr>
      <w:r>
        <w:t>References</w:t>
      </w:r>
    </w:p>
    <w:p>
      <w:pPr>
        <w:spacing w:after="120" w:line="259" w:lineRule="auto"/>
      </w:pPr>
      <w:r>
        <w:t>Andrews, S. (2010) FastQC: a quality control tool for high throughput sequence data. Babraham Bioinformatics. [Verify citation format and URL.]</w:t>
      </w:r>
    </w:p>
    <w:p>
      <w:pPr>
        <w:spacing w:after="120" w:line="259" w:lineRule="auto"/>
      </w:pPr>
      <w:r>
        <w:t>De Coster, W. et al. (2018) NanoPack: visualizing and processing long-read sequencing data. Bioinformatics. [Verify final bibliographic details.]</w:t>
      </w:r>
    </w:p>
    <w:p>
      <w:pPr>
        <w:spacing w:after="120" w:line="259" w:lineRule="auto"/>
      </w:pPr>
      <w:r>
        <w:t>Gao, Y., He, D. and Patro, R. (2026) QCatch: a framework for quality control assessment and analysis of single-cell sequencing data. Bioinformatics, 42(5), btag184.</w:t>
      </w:r>
    </w:p>
    <w:p>
      <w:pPr>
        <w:spacing w:after="120" w:line="259" w:lineRule="auto"/>
      </w:pPr>
      <w:r>
        <w:t>Oxford Nanopore Technologies. Pychopper: identify, orient and trim full-length cDNA reads. [Add versioned citation or repository archive if used as a direct comparator.]</w:t>
      </w:r>
    </w:p>
    <w:p>
      <w:pPr>
        <w:spacing w:after="120" w:line="259" w:lineRule="auto"/>
      </w:pPr>
      <w:r>
        <w:t>[Add protocol-specific and single-cell long-read sequencing references matching the final biological use case.]</w:t>
      </w:r>
    </w:p>
    <w:p>
      <w:pPr>
        <w:pStyle w:val="Heading1"/>
      </w:pPr>
      <w:r>
        <w:t>Author revision checklist</w:t>
      </w:r>
    </w:p>
    <w:p>
      <w:pPr>
        <w:spacing w:after="120" w:line="259" w:lineRule="auto"/>
      </w:pPr>
      <w:r>
        <w:t>Before journal submission, replace placeholders, add a public software URL and license, provide versioned release metadata, run a clean-install test, add representative public datasets, benchmark runtime with and without the Rust accelerator, compare against relevant generic QC or protocol-specific preprocessing tools, and prepare final figures from the HTML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