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1B6B8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10947400</wp:posOffset>
            </wp:positionV>
            <wp:extent cx="495300" cy="355600"/>
            <wp:effectExtent l="0" t="0" r="0" b="635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24"/>
        </w:rPr>
        <w:t>机密</w:t>
      </w:r>
      <w:r>
        <w:rPr>
          <w:rFonts w:hint="eastAsia" w:ascii="Times New Roman" w:hAnsi="Times New Roman"/>
          <w:b/>
          <w:sz w:val="24"/>
          <w:szCs w:val="21"/>
        </w:rPr>
        <w:t>★</w:t>
      </w:r>
      <w:r>
        <w:rPr>
          <w:rFonts w:hint="eastAsia" w:ascii="Times New Roman" w:hAnsi="Times New Roman"/>
          <w:b/>
          <w:sz w:val="24"/>
        </w:rPr>
        <w:t>启用前</w:t>
      </w:r>
    </w:p>
    <w:p w14:paraId="53B3E792"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2025年黑龙江、吉林、辽宁、内蒙古普通高等学校招生选择性考试</w:t>
      </w:r>
    </w:p>
    <w:p w14:paraId="02263EDC"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生物学</w:t>
      </w:r>
    </w:p>
    <w:p w14:paraId="54C1CE5D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本试卷共25题，共100分，共11页。考试结束后，将本试题和答题卡一并交回。</w:t>
      </w:r>
    </w:p>
    <w:p w14:paraId="569F6C6F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注意事项：</w:t>
      </w:r>
    </w:p>
    <w:p w14:paraId="10E56C50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1．答题前，考生先将自己的姓名、准考证号码填写清楚，将条形码准确粘贴在条形码区域内。</w:t>
      </w:r>
    </w:p>
    <w:p w14:paraId="6A2284C3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2．选择题必须使用2B铅笔填涂；非选择题必须使用0.5毫米黑色字迹的签字笔书写，字体工整，笔记清楚。</w:t>
      </w:r>
    </w:p>
    <w:p w14:paraId="756747C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3．请按照题号顺序在答题卡各题目的答题区域内作答，超出答题区域书写的答案无效；在草稿纸、试卷上答题无效。</w:t>
      </w:r>
    </w:p>
    <w:p w14:paraId="61332E24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4．作图可先使用铅笔画出，确定后必须用黑色字迹的签字笔描黑。</w:t>
      </w:r>
    </w:p>
    <w:p w14:paraId="2D1449D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5．保持卡面清洁，不要折叠、不要弄破、弄皱，不准使用涂改液、修正带、刮纸刀。</w:t>
      </w:r>
    </w:p>
    <w:p w14:paraId="0E707EF2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一、选择题：本题共15小题，每小题2分，共30分。在每小题给出的四个选项中，只有一项是符合题目要求的。</w:t>
      </w:r>
    </w:p>
    <w:p w14:paraId="517D401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1．下列关于耐高温的DNA聚合酶的叙述正确的是（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7C08F7D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A．基本单位是脱氧核苷酸</w:t>
      </w:r>
    </w:p>
    <w:p w14:paraId="08D143CC">
      <w:pPr>
        <w:spacing w:line="288" w:lineRule="auto"/>
        <w:rPr>
          <w:rFonts w:ascii="Times New Roman" w:hAnsi="Times New Roman"/>
          <w:b w:val="0"/>
          <w:bCs w:val="0"/>
          <w:color w:val="0000FF"/>
        </w:rPr>
      </w:pPr>
      <w:r>
        <w:rPr>
          <w:rFonts w:hint="eastAsia" w:ascii="Times New Roman" w:hAnsi="Times New Roman"/>
          <w:b w:val="0"/>
          <w:bCs w:val="0"/>
          <w:color w:val="0000FF"/>
        </w:rPr>
        <w:t>B．在细胞内或细胞外均可发挥作用</w:t>
      </w:r>
    </w:p>
    <w:p w14:paraId="6E53F8B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C．当模板DNA和脱氧核苷酸存在时即可催化反应</w:t>
      </w:r>
    </w:p>
    <w:p w14:paraId="00672E0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D．为维持较高活性，适宜在70℃~75℃下保存</w:t>
      </w:r>
    </w:p>
    <w:p w14:paraId="7F96259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2．下列关于现代生物进化理论的叙述错误的是（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790EDD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A．进化的基本单位是种群</w:t>
      </w:r>
    </w:p>
    <w:p w14:paraId="032BBA05">
      <w:pPr>
        <w:spacing w:line="288" w:lineRule="auto"/>
        <w:rPr>
          <w:rFonts w:ascii="Times New Roman" w:hAnsi="Times New Roman"/>
          <w:b w:val="0"/>
          <w:bCs w:val="0"/>
          <w:color w:val="0000FF"/>
        </w:rPr>
      </w:pPr>
      <w:r>
        <w:rPr>
          <w:rFonts w:hint="eastAsia" w:ascii="Times New Roman" w:hAnsi="Times New Roman"/>
          <w:b w:val="0"/>
          <w:bCs w:val="0"/>
          <w:color w:val="0000FF"/>
        </w:rPr>
        <w:t>B．可遗传变异使种群基因频率定向改变，导致生物进化</w:t>
      </w:r>
    </w:p>
    <w:p w14:paraId="0EA0E4A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C．某些物种经过地理隔离后出现生殖隔离会产生新物种</w:t>
      </w:r>
    </w:p>
    <w:p w14:paraId="3E4C5D2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D．不同物种间、生物与无机环境之间在相互影响中不断进化和发展</w:t>
      </w:r>
    </w:p>
    <w:p w14:paraId="492C80F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3．下列关于人体内环境稳态的叙述错误的是（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632F979">
      <w:p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A．胰岛素受体被破坏，可引起血糖升高</w:t>
      </w:r>
    </w:p>
    <w:p w14:paraId="50CCCDF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color w:val="0000FF"/>
        </w:rPr>
        <w:t>B．抗利尿激素分泌不足时，可引起尿量减少</w:t>
      </w:r>
    </w:p>
    <w:p w14:paraId="76DA4D3B">
      <w:p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C．醛固酮分泌过多，可引起血钠含量上升</w:t>
      </w:r>
    </w:p>
    <w:p w14:paraId="51FCB72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D．血液中Ca</w:t>
      </w:r>
      <w:r>
        <w:rPr>
          <w:rFonts w:hint="eastAsia" w:ascii="Times New Roman" w:hAnsi="Times New Roman"/>
          <w:vertAlign w:val="superscript"/>
        </w:rPr>
        <w:t>2+</w:t>
      </w:r>
      <w:r>
        <w:rPr>
          <w:rFonts w:hint="eastAsia" w:ascii="Times New Roman" w:hAnsi="Times New Roman"/>
        </w:rPr>
        <w:t>浓度过低，可引起肌肉抽搐</w:t>
      </w:r>
    </w:p>
    <w:p w14:paraId="1CA43ED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4．科研人员通过稀释涂布平板法筛选出高耐受且降解金霉素（C</w:t>
      </w:r>
      <w:r>
        <w:rPr>
          <w:rFonts w:hint="eastAsia" w:ascii="Times New Roman" w:hAnsi="Times New Roman"/>
          <w:vertAlign w:val="subscript"/>
        </w:rPr>
        <w:t>22</w:t>
      </w:r>
      <w:r>
        <w:rPr>
          <w:rFonts w:hint="eastAsia" w:ascii="Times New Roman" w:hAnsi="Times New Roman"/>
        </w:rPr>
        <w:t>H</w:t>
      </w:r>
      <w:r>
        <w:rPr>
          <w:rFonts w:hint="eastAsia" w:ascii="Times New Roman" w:hAnsi="Times New Roman"/>
          <w:vertAlign w:val="subscript"/>
        </w:rPr>
        <w:t>23</w:t>
      </w:r>
      <w:r>
        <w:rPr>
          <w:rFonts w:hint="eastAsia" w:ascii="Times New Roman" w:hAnsi="Times New Roman"/>
        </w:rPr>
        <w:t>ClN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</w:t>
      </w:r>
      <w:r>
        <w:rPr>
          <w:rFonts w:hint="eastAsia" w:ascii="Times New Roman" w:hAnsi="Times New Roman"/>
          <w:vertAlign w:val="subscript"/>
        </w:rPr>
        <w:t>8</w:t>
      </w:r>
      <w:r>
        <w:rPr>
          <w:rFonts w:hint="eastAsia" w:ascii="Times New Roman" w:hAnsi="Times New Roman"/>
        </w:rPr>
        <w:t>）能力强的菌株，旨在解决金霉素过量使用所导致的环境污染问题。下列叙述错误的是（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AEDDED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A．以金霉素为唯一碳源可制备选择培养基</w:t>
      </w:r>
    </w:p>
    <w:p w14:paraId="0611093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B．逐步提高培养基中金霉素的浓度有助于获得高耐受的菌株</w:t>
      </w:r>
    </w:p>
    <w:p w14:paraId="38A132D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C．配制选择培养基时，需确保pH满足实验要求</w:t>
      </w:r>
    </w:p>
    <w:p w14:paraId="686F0FB0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D．用接种环将菌液均匀地涂布在培养基表面</w:t>
      </w:r>
    </w:p>
    <w:p w14:paraId="5266B66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5．下图为某森林生态系统的部分食物网。下列叙述正确的是（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6361235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390650" cy="10820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2881" cy="10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59F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A．图中的生物及其非生物环境构成生态系统</w:t>
      </w:r>
    </w:p>
    <w:p w14:paraId="385BB9D8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B．野猪数量下降时，虎对豹的排斥加剧</w:t>
      </w:r>
    </w:p>
    <w:p w14:paraId="5B5EB7B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C．图中的食物网共由6条食物链组成</w:t>
      </w:r>
    </w:p>
    <w:p w14:paraId="5AA02C4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D．树木同化的能量约有10%~20%流入到野猪</w:t>
      </w:r>
    </w:p>
    <w:p w14:paraId="02E152D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6．为修复矿藏开采对土壤、植被等造成的毁坏，采用生态工程技术对矿区开展生态修复。下列叙述错误的是（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29BF0B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A．修复首先要对土壤进行改良，为植物生长提供条件</w:t>
      </w:r>
    </w:p>
    <w:p w14:paraId="353E967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B．修复应遵循生态工程的协调原理，因地制宜配置物种</w:t>
      </w:r>
    </w:p>
    <w:p w14:paraId="091C8BF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C．修复后，植物多样性提升，丰富了动物栖息环境，促进了群落演替</w:t>
      </w:r>
    </w:p>
    <w:p w14:paraId="585AC4A4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D．修复后，生物群落能实现自我更新和维持，体现了生态工程整体原理</w:t>
      </w:r>
    </w:p>
    <w:p w14:paraId="73746D6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7．红藻兼具无性生殖和有性生殖。海蟑螂依赖红藻躲避天敌，并取食红藻表面附生的硅藻，在此过程中携带了红藻的雄配子，使红藻有性生殖成功率提升。下列叙述错误的是（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AE55C5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A．海蟑螂与红藻存在互惠关系，二者协同进化</w:t>
      </w:r>
    </w:p>
    <w:p w14:paraId="0AF67CC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B．海蟑螂数量减少不利于红藻形成多样的变异</w:t>
      </w:r>
    </w:p>
    <w:p w14:paraId="26F8CB80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C．硅藻附生于红藻，因此二者存在寄生关系</w:t>
      </w:r>
    </w:p>
    <w:p w14:paraId="1299145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D．海蟑螂与红藻的关系类似传粉昆虫与虫媒花</w:t>
      </w:r>
    </w:p>
    <w:p w14:paraId="5DD7B79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8．利用植物组织培养技术获得红豆杉试管苗，有助于解决紫杉醇药源短缺问题。下列叙述正确的是（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9B08FFB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A．细胞分裂素和生长素的比例会影响愈伤组织的形成</w:t>
      </w:r>
    </w:p>
    <w:p w14:paraId="115F2D2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B．培养基先分装到锥形瓶，封口后用干热灭菌法灭菌</w:t>
      </w:r>
    </w:p>
    <w:p w14:paraId="72552CB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C．芽原基细胞由于基因选择性表达，不能用作外植体</w:t>
      </w:r>
    </w:p>
    <w:p w14:paraId="5926FAC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D．紫杉醇不能通过细胞产物的工厂化生产来获取，植物组织培养优势明显</w:t>
      </w:r>
    </w:p>
    <w:p w14:paraId="76F866E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9．研究显示，约70%的小鼠体细胞核移植胚胎未能成功发育至囊胚期，且仅有约2%的胚胎移植到代孕母鼠后可正常发育。下列叙述错误的是（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647618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A．体细胞核进入去核的MⅡ期卵母细胞形成重构胚</w:t>
      </w:r>
    </w:p>
    <w:p w14:paraId="54D8CBA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B．移植前胚胎发育率低，可能是植入的体细胞核不能完全恢复分化前的功能状态</w:t>
      </w:r>
    </w:p>
    <w:p w14:paraId="63D161B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color w:val="0000FF"/>
        </w:rPr>
        <w:t>C．胚胎移植到代孕母鼠后成活率低，可能是早期胚胎未能及时从滋养层内孵化</w:t>
      </w:r>
    </w:p>
    <w:p w14:paraId="3EFDCA4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D．为提高胚胎成活率，可用胚胎细胞核移植代替体细胞核移植</w:t>
      </w:r>
    </w:p>
    <w:p w14:paraId="6F21303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10．黑暗条件下，叶绿体内膜的载体蛋白NTT顺浓度梯度运输ATP、ADP和Pi的过程示意图如下。其他条件均适宜，下列叙述正确的是（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28487B8D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222500" cy="133858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315" cy="13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06B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A．ATP、ADP和Pi通过NTT时，无需与NTT结合</w:t>
      </w:r>
    </w:p>
    <w:p w14:paraId="3422F2B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B．NTT转运ATP、ADP和Pi的方式为主动运输</w:t>
      </w:r>
    </w:p>
    <w:p w14:paraId="207CD2E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C．图中进入叶绿体基质的ATP均由线粒体产生</w:t>
      </w:r>
    </w:p>
    <w:p w14:paraId="21561A0F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D．光照充足，NTT运出ADP的数量会减少甚至停止</w:t>
      </w:r>
    </w:p>
    <w:p w14:paraId="53C9B56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11．下列关于实验操作和现象的叙述错误的是（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4B3071D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A．观察叶绿体的形态和分布，需先用低倍镜找到叶绿体再换用高倍镜</w:t>
      </w:r>
    </w:p>
    <w:p w14:paraId="6FD0145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B．用斐林试剂检测梨汁中的还原糖时，需要加热后才能呈现砖红色</w:t>
      </w:r>
    </w:p>
    <w:p w14:paraId="4162CAE9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C．将染色后的洋葱根尖置于载玻片上，滴清水并盖上盖玻片即可观察染色体</w:t>
      </w:r>
    </w:p>
    <w:p w14:paraId="1D70368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D．分离菠菜叶中的色素时，因层析液有挥发性，需在通风好的条件下进行</w:t>
      </w:r>
    </w:p>
    <w:p w14:paraId="7F59F88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12．黄毛鼠在不同环境温度下独居或聚群时的耗氧量（代表产热量）测定值见下图。下列叙述正确的是（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0566E5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38350" cy="15855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812" cy="15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F78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A．与20℃相比，10℃时，黄毛鼠产热量增加，散热量减少</w:t>
      </w:r>
    </w:p>
    <w:p w14:paraId="1EEAFB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color w:val="0000FF"/>
        </w:rPr>
        <w:t>B．10℃时，聚群个体的产热量和散热量比独居的多</w:t>
      </w:r>
    </w:p>
    <w:p w14:paraId="66D40DD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C．10℃时，聚群个体下丘脑合成和分泌TRH比独居的少</w:t>
      </w:r>
    </w:p>
    <w:p w14:paraId="228D737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D．聚群是黄毛鼠在低温环境下减少能量消耗的生理性调节</w:t>
      </w:r>
    </w:p>
    <w:p w14:paraId="1637CD5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13．光照、植物激素EBR、脱落酸和赤霉素均参与调节拟南芥种子的萌发，部分作用关系如下图。下列叙述正确的是（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C522281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200400" cy="15214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361" cy="152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D4B4">
      <w:pPr>
        <w:numPr>
          <w:ilvl w:val="0"/>
          <w:numId w:val="1"/>
        </w:num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光敏色素是一类含有色素的脂质化合物</w:t>
      </w:r>
    </w:p>
    <w:p w14:paraId="18A423DD">
      <w:pPr>
        <w:numPr>
          <w:ilvl w:val="0"/>
          <w:numId w:val="1"/>
        </w:num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B．图中激素①是赤霉素，激素②是脱落酸</w:t>
      </w:r>
    </w:p>
    <w:p w14:paraId="308A5B90">
      <w:pPr>
        <w:numPr>
          <w:ilvl w:val="0"/>
          <w:numId w:val="1"/>
        </w:numPr>
        <w:spacing w:line="288" w:lineRule="auto"/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EBR和赤霉素是相抗衡的关系</w:t>
      </w:r>
    </w:p>
    <w:p w14:paraId="0FE04060">
      <w:pPr>
        <w:numPr>
          <w:ilvl w:val="0"/>
          <w:numId w:val="1"/>
        </w:numPr>
        <w:spacing w:line="288" w:lineRule="auto"/>
        <w:ind w:left="0" w:leftChars="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color w:val="0000FF"/>
        </w:rPr>
        <w:t>D．红光和EBR均能诱导拟南芥种子萌发</w:t>
      </w:r>
    </w:p>
    <w:p w14:paraId="0040471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14．下列关于基因表达及其调控的叙述错误的是（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6F63C4F7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A．转录和翻译过程中，碱基互补配对的方式不同</w:t>
      </w:r>
    </w:p>
    <w:p w14:paraId="0C49A7D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B．转录时通过RNA聚合酶打开DNA双链</w:t>
      </w:r>
    </w:p>
    <w:p w14:paraId="05939F1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C．某些DNA甲基化可通过抑制基因转录影响生物表型</w:t>
      </w:r>
    </w:p>
    <w:p w14:paraId="088B44C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  <w:color w:val="0000FF"/>
        </w:rPr>
        <w:t>D．核糖体与mRNA的结合部位形成1个tRNA结合位点</w:t>
      </w:r>
    </w:p>
    <w:p w14:paraId="6B6B9B8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15．某二倍体（2n）植物的三体（2n+1）变异株可正常生长。该变异株减数分裂得到的配子为“n”型和“n+1”型两种，其中“n+1”型的花粉只有约50%的受精率，而卵子不受影响。该变异株自交，假设四体（2n+2）细胞无法存活，预期子一代中三体变异株的比例约为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726AA30F">
      <w:pPr>
        <w:spacing w:line="288" w:lineRule="auto"/>
        <w:rPr>
          <w:rFonts w:hint="eastAsia" w:ascii="Times New Roman" w:hAnsi="Times New Roman"/>
        </w:rPr>
      </w:pPr>
      <w:r>
        <w:rPr>
          <w:rFonts w:ascii="Times New Roman" w:hAnsi="Times New Roman"/>
          <w:color w:val="0000FF"/>
        </w:rPr>
        <w:t>A．3/5</w:t>
      </w:r>
      <w:r>
        <w:rPr>
          <w:rFonts w:hint="eastAsia" w:ascii="Times New Roman" w:hAnsi="Times New Roman"/>
          <w:color w:val="0000FF"/>
        </w:rPr>
        <w:t xml:space="preserve"> </w:t>
      </w:r>
      <w:r>
        <w:rPr>
          <w:rFonts w:hint="eastAsia" w:ascii="Times New Roman" w:hAnsi="Times New Roman"/>
        </w:rPr>
        <w:t xml:space="preserve">              </w:t>
      </w:r>
      <w:r>
        <w:rPr>
          <w:rFonts w:ascii="Times New Roman" w:hAnsi="Times New Roman"/>
        </w:rPr>
        <w:t>B．3/4</w:t>
      </w:r>
      <w:r>
        <w:rPr>
          <w:rFonts w:hint="eastAsia" w:ascii="Times New Roman" w:hAnsi="Times New Roman"/>
        </w:rPr>
        <w:t xml:space="preserve"> </w:t>
      </w:r>
    </w:p>
    <w:p w14:paraId="3794EA60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C．2/3</w:t>
      </w:r>
      <w:r>
        <w:rPr>
          <w:rFonts w:hint="eastAsia" w:ascii="Times New Roman" w:hAnsi="Times New Roman"/>
        </w:rPr>
        <w:t xml:space="preserve">                 </w:t>
      </w:r>
      <w:r>
        <w:rPr>
          <w:rFonts w:ascii="Times New Roman" w:hAnsi="Times New Roman"/>
        </w:rPr>
        <w:t>D．1/2</w:t>
      </w:r>
    </w:p>
    <w:p w14:paraId="7AA33F9C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二、选择题：本题共5小题，每小题3分，共15分。在每小题给出的四个选项中，有一项或多项是符合题目要求的。全部选对得3分，选对但选不全得1分，有选错得0分。</w:t>
      </w:r>
    </w:p>
    <w:p w14:paraId="7DE16ED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16．下图为植物细胞呼吸的部分反应过程示意图，图中NADH可储存能量，①、②和③表示不同反应阶段。下列叙述正确的是（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14C5DC97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114550" cy="12465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6229" cy="12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291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A．①发生在细胞质基质，②和③发生在线粒体</w:t>
      </w:r>
    </w:p>
    <w:p w14:paraId="222B3D8C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B．③中NADH通过一系列的化学反应参与了水的形成</w:t>
      </w:r>
    </w:p>
    <w:p w14:paraId="17E89F5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C．无氧条件下，③不能进行，①和②能正常进行</w:t>
      </w:r>
    </w:p>
    <w:p w14:paraId="7BA2DF2D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D．无氧条件下，①产生的NADH中的部分能量转移到ATP中</w:t>
      </w:r>
    </w:p>
    <w:p w14:paraId="7C3CEE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17．T细胞通过T细胞受体（TCR）识别肿瘤抗原，为研究TCR与抗原结合的亲和力对肿瘤生长的影响，将高、低两种亲和力的特异性T细胞输入至肿瘤模型小鼠，检测肿瘤生长情况（图1）及评估T细胞耗竭程度（图2）。T细胞耗竭指T细胞功能下降和增殖能力减弱，表达耗竭标志物的T细胞比例与其耗竭程度正相关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4C85D0A9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38350" cy="161417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1496" cy="16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454150" cy="161036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773" cy="16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2D9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A．T细胞的抗肿瘤作用体现了免疫自稳功能</w:t>
      </w:r>
    </w:p>
    <w:p w14:paraId="13E7733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B．T细胞在抗肿瘤免疫中不需要抗原呈递细胞参与</w:t>
      </w:r>
    </w:p>
    <w:p w14:paraId="7E50FAA9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C．低亲和力T细胞能够抑制肿瘤生长</w:t>
      </w:r>
    </w:p>
    <w:p w14:paraId="2DB26F8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D．高亲和力T细胞更易耗竭且能抑制小鼠的免疫</w:t>
      </w:r>
    </w:p>
    <w:p w14:paraId="168582E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18．某山体公园自然条件下猕猴种群的环境容纳量约为840只。1986年后，游客的投喂和以保护为目的的固定投食，致使猕猴种群数量快速增长，引发了人猴冲突。为减少冲突事件的发生，研究人员做了相关调查，结果如下图。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543D80BF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279650" cy="1289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3407" cy="12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C63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A．调查期间猕猴种群的</w:t>
      </w:r>
      <w:r>
        <w:rPr>
          <w:rFonts w:ascii="Times New Roman" w:hAnsi="Times New Roman"/>
        </w:rPr>
        <w:t>λ</w:t>
      </w:r>
      <w:r>
        <w:rPr>
          <w:rFonts w:hint="eastAsia" w:ascii="Times New Roman" w:hAnsi="Times New Roman"/>
        </w:rPr>
        <w:t>&gt;1，若现有条件不变，种群数量会持续增长</w:t>
      </w:r>
    </w:p>
    <w:p w14:paraId="0457106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B．2013年人猴冲突事件减少，是因为猕猴种群数量接近自然条件下的环境容纳量</w:t>
      </w:r>
    </w:p>
    <w:p w14:paraId="1EED91C5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C．2016年后，猕猴种群数量超过自然条件下环境容纳量的主要原因是人为投食</w:t>
      </w:r>
    </w:p>
    <w:p w14:paraId="4C13450D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D．为保护猕猴和减少人猴冲突，应适时迁出部分猕猴族群达到人与动物和谐相处</w:t>
      </w:r>
    </w:p>
    <w:p w14:paraId="258C735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19．下图是制备抗白细胞介素-6（IL-6）单克隆抗体的示意图。下列叙述错误的是（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B91B8F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641600" cy="1241425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021" cy="12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A0CD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A．步骤①给小鼠注射IL-6后，应从脾中分离筛选T淋巴细胞</w:t>
      </w:r>
    </w:p>
    <w:p w14:paraId="03203031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B．步骤②在脾组织中加入胃蛋白酶，制成单细胞悬液</w:t>
      </w:r>
    </w:p>
    <w:p w14:paraId="382555A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C．步骤③加入灭活病毒或PEG诱导细胞融合，体现了细胞膜的流动性</w:t>
      </w:r>
    </w:p>
    <w:p w14:paraId="77F7552D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D．步骤④经过克隆化培养和抗体检测筛选出了杂交瘤细胞</w:t>
      </w:r>
    </w:p>
    <w:p w14:paraId="57B4632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20．中国养蚕制丝历史悠久。蚕卵的红色、黄色由常染色体上一对等位基因（R/r）控制。将外源绿色蛋白基因（G）导入到纯合的黄卵（rr）、结白茧雌蚕的Z染色体上，获得结绿茧的亲本1，与纯合的红卵、结白茧雄蚕（亲本2）杂交选育红卵、结绿茧的纯合品系。不考虑突变，下列叙述正确的是（</w:t>
      </w:r>
      <w:r>
        <w:rPr>
          <w:rFonts w:ascii="Times New Roman" w:hAnsi="Times New Roman"/>
        </w:rPr>
        <w:t xml:space="preserve">   </w:t>
      </w:r>
      <w:r>
        <w:rPr>
          <w:rFonts w:hint="eastAsia" w:ascii="Times New Roman" w:hAnsi="Times New Roman"/>
        </w:rPr>
        <w:t>）</w:t>
      </w:r>
    </w:p>
    <w:p w14:paraId="02A5103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雌蚕均表现出红卵、结绿茧表型</w:t>
      </w:r>
    </w:p>
    <w:p w14:paraId="03A43654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B．F</w:t>
      </w:r>
      <w:r>
        <w:rPr>
          <w:rFonts w:hint="eastAsia" w:ascii="Times New Roman" w:hAnsi="Times New Roman"/>
          <w:color w:val="0000FF"/>
          <w:vertAlign w:val="subscript"/>
        </w:rPr>
        <w:t>1</w:t>
      </w:r>
      <w:r>
        <w:rPr>
          <w:rFonts w:hint="eastAsia" w:ascii="Times New Roman" w:hAnsi="Times New Roman"/>
          <w:color w:val="0000FF"/>
        </w:rPr>
        <w:t>雄蚕次级精母细胞中的基因组成可能有RRGG、rr等类型</w:t>
      </w:r>
    </w:p>
    <w:p w14:paraId="1AD0D0C8">
      <w:pPr>
        <w:spacing w:line="288" w:lineRule="auto"/>
        <w:rPr>
          <w:rFonts w:ascii="Times New Roman" w:hAnsi="Times New Roman"/>
          <w:color w:val="0000FF"/>
        </w:rPr>
      </w:pPr>
      <w:r>
        <w:rPr>
          <w:rFonts w:hint="eastAsia" w:ascii="Times New Roman" w:hAnsi="Times New Roman"/>
          <w:color w:val="0000FF"/>
        </w:rPr>
        <w:t>C．F</w:t>
      </w:r>
      <w:r>
        <w:rPr>
          <w:rFonts w:hint="eastAsia" w:ascii="Times New Roman" w:hAnsi="Times New Roman"/>
          <w:color w:val="0000FF"/>
          <w:vertAlign w:val="subscript"/>
        </w:rPr>
        <w:t>1</w:t>
      </w:r>
      <w:r>
        <w:rPr>
          <w:rFonts w:hint="eastAsia" w:ascii="Times New Roman" w:hAnsi="Times New Roman"/>
          <w:color w:val="0000FF"/>
        </w:rPr>
        <w:t>随机交配得到的F</w:t>
      </w:r>
      <w:r>
        <w:rPr>
          <w:rFonts w:hint="eastAsia" w:ascii="Times New Roman" w:hAnsi="Times New Roman"/>
          <w:color w:val="0000FF"/>
          <w:vertAlign w:val="subscript"/>
        </w:rPr>
        <w:t>2</w:t>
      </w:r>
      <w:r>
        <w:rPr>
          <w:rFonts w:hint="eastAsia" w:ascii="Times New Roman" w:hAnsi="Times New Roman"/>
          <w:color w:val="0000FF"/>
        </w:rPr>
        <w:t>中，红卵、结绿茧的个体比例是3/8</w:t>
      </w:r>
    </w:p>
    <w:p w14:paraId="5B9E6B0B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中红卵、结绿茧的个体随机交配，子代中目的个体的比例是2/9</w:t>
      </w:r>
    </w:p>
    <w:p w14:paraId="70778D99">
      <w:pPr>
        <w:spacing w:line="288" w:lineRule="auto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三、非选择题：本题共5小题，共55分。</w:t>
      </w:r>
    </w:p>
    <w:p w14:paraId="66799F1C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21．（11分）Rubisco是光合作用暗反应中的关键酶。科研人员将Rubisco基因转入某作物的野生型（WT）获得该酶含量增加的转基因品系（S），并做了相关研究。实验结果表明，这一改良提高了该作物的光合速率（如下图）和产量潜力。回答下列问题。</w:t>
      </w:r>
    </w:p>
    <w:p w14:paraId="2E57BDCA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647950" cy="176276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0498" cy="17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BEAA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（1）Rubisco在叶绿体的</w:t>
      </w:r>
      <w:bookmarkStart w:id="0" w:name="OLE_LINK20"/>
      <w:bookmarkStart w:id="1" w:name="OLE_LINK7"/>
      <w:bookmarkStart w:id="2" w:name="OLE_LINK21"/>
      <w:bookmarkStart w:id="3" w:name="OLE_LINK1"/>
      <w:bookmarkStart w:id="4" w:name="OLE_LINK28"/>
      <w:r>
        <w:rPr>
          <w:rFonts w:ascii="宋体" w:hAnsi="宋体"/>
          <w:szCs w:val="21"/>
        </w:rPr>
        <w:t>________</w:t>
      </w:r>
      <w:bookmarkEnd w:id="0"/>
      <w:bookmarkEnd w:id="1"/>
      <w:bookmarkEnd w:id="2"/>
      <w:bookmarkEnd w:id="3"/>
      <w:bookmarkEnd w:id="4"/>
      <w:r>
        <w:rPr>
          <w:rFonts w:hint="eastAsia" w:ascii="Times New Roman" w:hAnsi="Times New Roman"/>
        </w:rPr>
        <w:t>中催化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与CO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结合。部分产物经过一系列反应形成（CH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O），这一过程中能量转换是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7D2190CC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（2）据图分析，当胞间CO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浓度高于B点时，曲线②与③重合是由于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不足。A点之前曲线①和②重合的最主要限制因素是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。胞间CO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浓度为300</w:t>
      </w:r>
      <w:r>
        <w:rPr>
          <w:rFonts w:ascii="Times New Roman" w:hAnsi="Times New Roman"/>
        </w:rPr>
        <w:t>μ</w:t>
      </w:r>
      <w:r>
        <w:rPr>
          <w:rFonts w:hint="eastAsia" w:ascii="Times New Roman" w:hAnsi="Times New Roman"/>
        </w:rPr>
        <w:t>mol·mol</w:t>
      </w:r>
      <w:r>
        <w:rPr>
          <w:rFonts w:hint="eastAsia" w:ascii="Times New Roman" w:hAnsi="Times New Roman"/>
          <w:vertAlign w:val="superscript"/>
        </w:rPr>
        <w:t>-1</w:t>
      </w:r>
      <w:r>
        <w:rPr>
          <w:rFonts w:hint="eastAsia" w:ascii="Times New Roman" w:hAnsi="Times New Roman"/>
        </w:rPr>
        <w:t>时，曲线①比②的光合速率高的具体原因是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623F4EF0">
      <w:p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（3）研究发现，在饱和光照和适宜CO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浓度条件下，S植株固定CO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生成C</w:t>
      </w:r>
      <w:r>
        <w:rPr>
          <w:rFonts w:hint="eastAsia" w:ascii="Times New Roman" w:hAnsi="Times New Roman"/>
          <w:vertAlign w:val="subscript"/>
        </w:rPr>
        <w:t>3</w:t>
      </w:r>
      <w:r>
        <w:rPr>
          <w:rFonts w:hint="eastAsia" w:ascii="Times New Roman" w:hAnsi="Times New Roman"/>
        </w:rPr>
        <w:t>的速率比WT更快。使用同位素标记的方法设计实验直接加以验证，简要写出实验思路。</w:t>
      </w:r>
    </w:p>
    <w:p w14:paraId="20F85E91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【参考答案】（1）基质；C5；ATP 和 NADPH 中活跃的化学能→有机物中稳定的化学能。</w:t>
      </w:r>
    </w:p>
    <w:p w14:paraId="3E97439D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（2）光照强度；CO2 浓度；光照增强使光反应产物增多，Rubisco 含量增加加速暗反应。</w:t>
      </w:r>
    </w:p>
    <w:p w14:paraId="265CBFD1">
      <w:pPr>
        <w:spacing w:line="288" w:lineRule="auto"/>
        <w:rPr>
          <w:rFonts w:hint="eastAsia" w:ascii="Times New Roman" w:hAnsi="Times New Roman" w:eastAsia="宋体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（3）实验思路：用 14CO2 处理饱和光照下的 WT 和 S 植株，定时检测 C3 放射性强度，比较 S 植株 C3 生成速率。</w:t>
      </w:r>
    </w:p>
    <w:p w14:paraId="63C9D2F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22．（11分）躯干四肢疼痛信息需依次经脊髓背根神经节、脊髓、丘脑三级神经元，传递至大脑躯体感觉皮层产生痛觉（如图1）。回答下列问题。</w:t>
      </w:r>
    </w:p>
    <w:p w14:paraId="04E59591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168650" cy="18478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4866" cy="18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A8E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（1）局部组织损伤时，会释放致痛物质（缓激肽等），使感受器产生电信号。该信号沿图1所示通路传至大脑躯体感觉皮层产生痛觉的过程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（填“是”或“不是”）反射；该信号传递至下一级神经元时，需经过的信号转换是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；该信号也可以从传入神经纤维分叉处传向另一末梢分支，引起P物质等的释放，加强感受器活动，通过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（填“正反馈”或“负反馈”）调节造成持续疼痛。</w:t>
      </w:r>
    </w:p>
    <w:p w14:paraId="17EBB33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电针疗法是用带微弱电流的针灸针刺激特定穴位的镇痛疗法。背根神经节中表达的P2X蛋白在痛觉信号传入中发挥重要作用，为探究电针疗法的镇痛效果及其机制，进行的动物实验处理（表）及结果（图2）如下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6"/>
        <w:gridCol w:w="1219"/>
        <w:gridCol w:w="1236"/>
      </w:tblGrid>
      <w:tr w14:paraId="673D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66" w:type="dxa"/>
            <w:vAlign w:val="center"/>
          </w:tcPr>
          <w:p w14:paraId="0412A26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bookmarkStart w:id="5" w:name="_GoBack"/>
            <w:r>
              <w:rPr>
                <w:rFonts w:hint="eastAsia" w:ascii="Times New Roman" w:hAnsi="Times New Roman"/>
              </w:rPr>
              <w:t>动物模型</w:t>
            </w:r>
          </w:p>
        </w:tc>
        <w:tc>
          <w:tcPr>
            <w:tcW w:w="1219" w:type="dxa"/>
            <w:vAlign w:val="center"/>
          </w:tcPr>
          <w:p w14:paraId="4A8435C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分组</w:t>
            </w:r>
          </w:p>
        </w:tc>
        <w:tc>
          <w:tcPr>
            <w:tcW w:w="1236" w:type="dxa"/>
            <w:vAlign w:val="center"/>
          </w:tcPr>
          <w:p w14:paraId="6897E40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治疗处理</w:t>
            </w:r>
          </w:p>
        </w:tc>
      </w:tr>
      <w:tr w14:paraId="1CE7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66" w:type="dxa"/>
            <w:vAlign w:val="center"/>
          </w:tcPr>
          <w:p w14:paraId="7AAF81F2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对照组：在正常大鼠足掌皮下注射生理盐水</w:t>
            </w:r>
          </w:p>
        </w:tc>
        <w:tc>
          <w:tcPr>
            <w:tcW w:w="1219" w:type="dxa"/>
            <w:vAlign w:val="center"/>
          </w:tcPr>
          <w:p w14:paraId="741B85E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1236" w:type="dxa"/>
            <w:vAlign w:val="center"/>
          </w:tcPr>
          <w:p w14:paraId="18C9B75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不治疗</w:t>
            </w:r>
          </w:p>
        </w:tc>
      </w:tr>
      <w:tr w14:paraId="7D17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66" w:type="dxa"/>
            <w:vMerge w:val="restart"/>
            <w:vAlign w:val="center"/>
          </w:tcPr>
          <w:p w14:paraId="7D735F03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疼痛模型组：在正常大鼠足掌皮下注射等体积致痛物质诱导剂</w:t>
            </w:r>
          </w:p>
        </w:tc>
        <w:tc>
          <w:tcPr>
            <w:tcW w:w="1219" w:type="dxa"/>
            <w:vAlign w:val="center"/>
          </w:tcPr>
          <w:p w14:paraId="53806A0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1236" w:type="dxa"/>
            <w:vAlign w:val="center"/>
          </w:tcPr>
          <w:p w14:paraId="3DC318D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不治疗</w:t>
            </w:r>
          </w:p>
        </w:tc>
      </w:tr>
      <w:tr w14:paraId="5C42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66" w:type="dxa"/>
            <w:vMerge w:val="continue"/>
            <w:vAlign w:val="center"/>
          </w:tcPr>
          <w:p w14:paraId="0C0CA798">
            <w:pPr>
              <w:spacing w:line="288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00F887C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</w:p>
        </w:tc>
        <w:tc>
          <w:tcPr>
            <w:tcW w:w="1236" w:type="dxa"/>
            <w:vAlign w:val="center"/>
          </w:tcPr>
          <w:p w14:paraId="744448F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电针治疗</w:t>
            </w:r>
          </w:p>
        </w:tc>
      </w:tr>
      <w:bookmarkEnd w:id="5"/>
    </w:tbl>
    <w:p w14:paraId="1AC1B50D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752600" cy="141033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033" cy="14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5361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设置A组作为对照组的具体目的是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。疼痛阈值与痛觉敏感性呈负相关，由结果推测电针疗法可能通过抑制P2X的表达发挥一定的镇痛作用，依据是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78507B24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（3）镇痛药物通常分为麻醉性（长期或超量使用易成瘾）和非麻醉性。从痛觉传入通路的角度分析，药物镇痛可能的作用机理有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和抑制突触信息传递。若某人患有反复发作的中轻度颈肩痛，以上镇痛疗法，不宜选择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52D6F4FC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【参考答案】（1）不是；电信号→化学信号→电信号；正反馈。</w:t>
      </w:r>
    </w:p>
    <w:p w14:paraId="778C580D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（2）排除生理盐水影响；作为正常状态对照；C 组疼痛阈值高于 B 组，P2X 表达量低于 B 组。</w:t>
      </w:r>
    </w:p>
    <w:p w14:paraId="01708AF0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（3）抑制感受器兴奋；阻断神经纤维上兴奋传导；麻醉性镇痛药物。</w:t>
      </w:r>
    </w:p>
    <w:p w14:paraId="6C22B18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23．（11分）粪甲虫是一类嗜粪昆虫的总称，其中金龟科和蜉金龟科粪甲虫以粪便为食，隐翅虫科则主要捕食粪便中滋生的某些小型无脊椎动物。大环内酯类兽药（ML）可以有效治疗畜禽的呼吸道疾病，但其在粪便中的残留会显著影响一些粪甲虫的存活和后代孵化。回答下列问题。</w:t>
      </w:r>
    </w:p>
    <w:p w14:paraId="7A5EC95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（1）草原生态系统粪甲虫种类繁多，体现了生物多样性中的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。金龟科和蜉金龟科粪甲虫能够快速分解草场中的粪便，促进土壤养分循环，体现了生物多样性的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价值。</w:t>
      </w:r>
    </w:p>
    <w:p w14:paraId="78D75806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（2）用箭头连接下列草原生态系统中的关键因子，完成碳循环模型。</w:t>
      </w:r>
    </w:p>
    <w:p w14:paraId="5AA323C6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393950" cy="113220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5511" cy="11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9B2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（3）对使用ML前后同一草场的粪甲虫进行调查，通常采用陷阱法取样，陷阱位置的选择应符合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原则；陷阱中新鲜牛粪的气味吸引粪甲虫，属于生态系统中的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信息传递。</w:t>
      </w:r>
    </w:p>
    <w:p w14:paraId="03C6357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（4）分类统计诱捕到的粪甲虫，结果见下表。由表可知，ML使用后粪甲虫数量明显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，优势科变为了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（填科名），这种变化将会使草场牛粪的清除速度下降，影响草场的生态功能。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275"/>
        <w:gridCol w:w="1236"/>
        <w:gridCol w:w="2403"/>
        <w:gridCol w:w="1236"/>
      </w:tblGrid>
      <w:tr w14:paraId="1F6C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vMerge w:val="restart"/>
            <w:vAlign w:val="center"/>
          </w:tcPr>
          <w:p w14:paraId="7B192D3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粪甲虫种类</w:t>
            </w:r>
          </w:p>
        </w:tc>
        <w:tc>
          <w:tcPr>
            <w:tcW w:w="3511" w:type="dxa"/>
            <w:gridSpan w:val="2"/>
            <w:vAlign w:val="center"/>
          </w:tcPr>
          <w:p w14:paraId="2F80AC3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ML使用前</w:t>
            </w:r>
          </w:p>
        </w:tc>
        <w:tc>
          <w:tcPr>
            <w:tcW w:w="3639" w:type="dxa"/>
            <w:gridSpan w:val="2"/>
            <w:vAlign w:val="center"/>
          </w:tcPr>
          <w:p w14:paraId="17AC692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ML使用后</w:t>
            </w:r>
          </w:p>
        </w:tc>
      </w:tr>
      <w:tr w14:paraId="51DC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vMerge w:val="continue"/>
            <w:vAlign w:val="center"/>
          </w:tcPr>
          <w:p w14:paraId="2AC5F88C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75" w:type="dxa"/>
            <w:vAlign w:val="center"/>
          </w:tcPr>
          <w:p w14:paraId="6B60B9C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平均数量/（只/陷阱）</w:t>
            </w:r>
          </w:p>
        </w:tc>
        <w:tc>
          <w:tcPr>
            <w:tcW w:w="1236" w:type="dxa"/>
            <w:vAlign w:val="center"/>
          </w:tcPr>
          <w:p w14:paraId="7359F63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个体占比</w:t>
            </w:r>
          </w:p>
        </w:tc>
        <w:tc>
          <w:tcPr>
            <w:tcW w:w="2403" w:type="dxa"/>
            <w:vAlign w:val="center"/>
          </w:tcPr>
          <w:p w14:paraId="08BF462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平均数量/（只/陷阱）</w:t>
            </w:r>
          </w:p>
        </w:tc>
        <w:tc>
          <w:tcPr>
            <w:tcW w:w="1236" w:type="dxa"/>
            <w:vAlign w:val="center"/>
          </w:tcPr>
          <w:p w14:paraId="59CC6DC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个体占比</w:t>
            </w:r>
          </w:p>
        </w:tc>
      </w:tr>
      <w:tr w14:paraId="0024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A7B64A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蜉金龟科</w:t>
            </w:r>
          </w:p>
        </w:tc>
        <w:tc>
          <w:tcPr>
            <w:tcW w:w="2275" w:type="dxa"/>
            <w:vAlign w:val="center"/>
          </w:tcPr>
          <w:p w14:paraId="757344A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121.7</w:t>
            </w:r>
          </w:p>
        </w:tc>
        <w:tc>
          <w:tcPr>
            <w:tcW w:w="1236" w:type="dxa"/>
            <w:vAlign w:val="center"/>
          </w:tcPr>
          <w:p w14:paraId="68557DF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62.3</w:t>
            </w: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2403" w:type="dxa"/>
            <w:vAlign w:val="center"/>
          </w:tcPr>
          <w:p w14:paraId="0B467A7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29.9</w:t>
            </w:r>
          </w:p>
        </w:tc>
        <w:tc>
          <w:tcPr>
            <w:tcW w:w="1236" w:type="dxa"/>
            <w:vAlign w:val="center"/>
          </w:tcPr>
          <w:p w14:paraId="0BE8F6A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44.4</w:t>
            </w:r>
            <w:r>
              <w:rPr>
                <w:rFonts w:ascii="Times New Roman" w:hAnsi="Times New Roman"/>
              </w:rPr>
              <w:t>%</w:t>
            </w:r>
          </w:p>
        </w:tc>
      </w:tr>
      <w:tr w14:paraId="4B62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58F403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金龟科</w:t>
            </w:r>
          </w:p>
        </w:tc>
        <w:tc>
          <w:tcPr>
            <w:tcW w:w="2275" w:type="dxa"/>
            <w:vAlign w:val="center"/>
          </w:tcPr>
          <w:p w14:paraId="0119703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73.7</w:t>
            </w:r>
          </w:p>
        </w:tc>
        <w:tc>
          <w:tcPr>
            <w:tcW w:w="1236" w:type="dxa"/>
            <w:vAlign w:val="center"/>
          </w:tcPr>
          <w:p w14:paraId="299F6C5A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37.7</w:t>
            </w:r>
            <w:r>
              <w:rPr>
                <w:rFonts w:ascii="Times New Roman" w:hAnsi="Times New Roman"/>
              </w:rPr>
              <w:t>%</w:t>
            </w:r>
          </w:p>
        </w:tc>
        <w:tc>
          <w:tcPr>
            <w:tcW w:w="2403" w:type="dxa"/>
            <w:vAlign w:val="center"/>
          </w:tcPr>
          <w:p w14:paraId="3BDD71E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0.8</w:t>
            </w:r>
          </w:p>
        </w:tc>
        <w:tc>
          <w:tcPr>
            <w:tcW w:w="1236" w:type="dxa"/>
            <w:vAlign w:val="center"/>
          </w:tcPr>
          <w:p w14:paraId="50A38279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%</w:t>
            </w:r>
          </w:p>
        </w:tc>
      </w:tr>
      <w:tr w14:paraId="03E3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58B3BC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隐翅虫科</w:t>
            </w:r>
          </w:p>
        </w:tc>
        <w:tc>
          <w:tcPr>
            <w:tcW w:w="2275" w:type="dxa"/>
            <w:vAlign w:val="center"/>
          </w:tcPr>
          <w:p w14:paraId="0467F99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</w:t>
            </w:r>
          </w:p>
        </w:tc>
        <w:tc>
          <w:tcPr>
            <w:tcW w:w="1236" w:type="dxa"/>
            <w:vAlign w:val="center"/>
          </w:tcPr>
          <w:p w14:paraId="0B8053F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</w:t>
            </w:r>
          </w:p>
        </w:tc>
        <w:tc>
          <w:tcPr>
            <w:tcW w:w="2403" w:type="dxa"/>
            <w:vAlign w:val="center"/>
          </w:tcPr>
          <w:p w14:paraId="0B47FBE0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36.6</w:t>
            </w:r>
          </w:p>
        </w:tc>
        <w:tc>
          <w:tcPr>
            <w:tcW w:w="1236" w:type="dxa"/>
            <w:vAlign w:val="center"/>
          </w:tcPr>
          <w:p w14:paraId="3594622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54.4</w:t>
            </w:r>
            <w:r>
              <w:rPr>
                <w:rFonts w:ascii="Times New Roman" w:hAnsi="Times New Roman"/>
              </w:rPr>
              <w:t>%</w:t>
            </w:r>
          </w:p>
        </w:tc>
      </w:tr>
    </w:tbl>
    <w:p w14:paraId="4291D99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（5）为了维持草场畜牧业的可持续发展，降低兽药残留对当地粪甲虫的影响，可采用的方法包括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。（多选）</w:t>
      </w:r>
    </w:p>
    <w:p w14:paraId="6D10A98D">
      <w:p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A．研发低残留、易降解兽药</w:t>
      </w:r>
    </w:p>
    <w:p w14:paraId="626D4E15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B．制定严格用药指南，避免过量使用兽药</w:t>
      </w:r>
    </w:p>
    <w:p w14:paraId="3AA92A00">
      <w:p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C．引入新的粪甲虫种类</w:t>
      </w:r>
    </w:p>
    <w:p w14:paraId="5A305CF4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D．培育抗病力强的牲畜品种减少兽药使用</w:t>
      </w:r>
    </w:p>
    <w:p w14:paraId="441CF826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【参考答案】（1）物种多样性；间接。</w:t>
      </w:r>
    </w:p>
    <w:p w14:paraId="6EF3B5EE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（2）大气 CO2→植物→动物→分解者→大气 CO2（箭头连接）。</w:t>
      </w:r>
    </w:p>
    <w:p w14:paraId="72148EDD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（3）随机取样；化学。</w:t>
      </w:r>
    </w:p>
    <w:p w14:paraId="51056135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（4）减少；隐翅虫科。</w:t>
      </w:r>
    </w:p>
    <w:p w14:paraId="221B39B3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（5）ABD。</w:t>
      </w:r>
    </w:p>
    <w:p w14:paraId="37593F12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24．（11分）科学家系统解析了豌豆7对性状的遗传基础，以下为部分实验，回答下列问题。</w:t>
      </w:r>
    </w:p>
    <w:p w14:paraId="6054B931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（1）将控制花腋生和顶生性状的基因定位于4号染色体上，用F/f表示。在大多数腋生纯系与顶生纯系的杂交中，F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腋生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顶生约为3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1，符合孟德尔的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定律。</w:t>
      </w:r>
    </w:p>
    <w:p w14:paraId="68385B17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（2）然而，某顶生个体自交，子代个体中20%以上表现为腋生。此现象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（填“能”或“不能”）用基因突变来解释，原因是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380CF4C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（3）定位于6号染色体上的基因D/d可能与（2）中的现象有关。为了验证这个假设，用两种纯种豌豆杂交得到F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，F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自交产生的F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表型和基因型的对应关系如下表，表格内“+”、“</w:t>
      </w:r>
      <w:r>
        <w:rPr>
          <w:rFonts w:hint="eastAsia" w:ascii="宋体" w:hAnsi="宋体"/>
        </w:rPr>
        <w:t>-</w:t>
      </w:r>
      <w:r>
        <w:rPr>
          <w:rFonts w:hint="eastAsia" w:ascii="Times New Roman" w:hAnsi="Times New Roman"/>
        </w:rPr>
        <w:t>”分别表示有、无相应基因型的个体。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942"/>
        <w:gridCol w:w="942"/>
        <w:gridCol w:w="942"/>
        <w:gridCol w:w="943"/>
        <w:gridCol w:w="942"/>
        <w:gridCol w:w="942"/>
        <w:gridCol w:w="943"/>
      </w:tblGrid>
      <w:tr w14:paraId="605A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2" w:type="dxa"/>
            <w:gridSpan w:val="4"/>
            <w:vAlign w:val="center"/>
          </w:tcPr>
          <w:p w14:paraId="791974A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腋生表型</w:t>
            </w:r>
          </w:p>
        </w:tc>
        <w:tc>
          <w:tcPr>
            <w:tcW w:w="3770" w:type="dxa"/>
            <w:gridSpan w:val="4"/>
            <w:vAlign w:val="center"/>
          </w:tcPr>
          <w:p w14:paraId="6DA085C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顶生表型</w:t>
            </w:r>
          </w:p>
        </w:tc>
      </w:tr>
      <w:tr w14:paraId="480B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vAlign w:val="center"/>
          </w:tcPr>
          <w:p w14:paraId="12CB0C4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基因型</w:t>
            </w:r>
          </w:p>
        </w:tc>
        <w:tc>
          <w:tcPr>
            <w:tcW w:w="942" w:type="dxa"/>
            <w:vAlign w:val="center"/>
          </w:tcPr>
          <w:p w14:paraId="63906C5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3BA626E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1D7B7C5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ff</w:t>
            </w:r>
          </w:p>
        </w:tc>
        <w:tc>
          <w:tcPr>
            <w:tcW w:w="943" w:type="dxa"/>
            <w:vAlign w:val="center"/>
          </w:tcPr>
          <w:p w14:paraId="5EDF9C9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基因型</w:t>
            </w:r>
          </w:p>
        </w:tc>
        <w:tc>
          <w:tcPr>
            <w:tcW w:w="942" w:type="dxa"/>
            <w:vAlign w:val="center"/>
          </w:tcPr>
          <w:p w14:paraId="78F29367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2" w:type="dxa"/>
            <w:vAlign w:val="center"/>
          </w:tcPr>
          <w:p w14:paraId="5513B53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Ff</w:t>
            </w:r>
          </w:p>
        </w:tc>
        <w:tc>
          <w:tcPr>
            <w:tcW w:w="943" w:type="dxa"/>
            <w:vAlign w:val="center"/>
          </w:tcPr>
          <w:p w14:paraId="3A08300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ff</w:t>
            </w:r>
          </w:p>
        </w:tc>
      </w:tr>
      <w:tr w14:paraId="4242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vAlign w:val="center"/>
          </w:tcPr>
          <w:p w14:paraId="3720D1B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3DBB8738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2FB5641F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5DEDEA4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759EB4B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2E521CC9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5CA0E1B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52AF7D45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</w:tr>
      <w:tr w14:paraId="6331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vAlign w:val="center"/>
          </w:tcPr>
          <w:p w14:paraId="30B4A25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182A9A1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42CC94A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0B49305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7D677D1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3EB08CD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439B2F13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4B5FA604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</w:tr>
      <w:tr w14:paraId="79BC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vAlign w:val="center"/>
          </w:tcPr>
          <w:p w14:paraId="7A5B7FD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13D9A91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00C2B8A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2" w:type="dxa"/>
            <w:vAlign w:val="center"/>
          </w:tcPr>
          <w:p w14:paraId="1154D38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943" w:type="dxa"/>
            <w:vAlign w:val="center"/>
          </w:tcPr>
          <w:p w14:paraId="78FEED2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dd</w:t>
            </w:r>
          </w:p>
        </w:tc>
        <w:tc>
          <w:tcPr>
            <w:tcW w:w="942" w:type="dxa"/>
            <w:vAlign w:val="center"/>
          </w:tcPr>
          <w:p w14:paraId="7CFB1F82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2" w:type="dxa"/>
            <w:vAlign w:val="center"/>
          </w:tcPr>
          <w:p w14:paraId="6F58E131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  <w:tc>
          <w:tcPr>
            <w:tcW w:w="943" w:type="dxa"/>
            <w:vAlign w:val="center"/>
          </w:tcPr>
          <w:p w14:paraId="61A02C1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</w:rPr>
              <w:t>-</w:t>
            </w:r>
          </w:p>
        </w:tc>
      </w:tr>
    </w:tbl>
    <w:p w14:paraId="3A9B3A6B">
      <w:pPr>
        <w:spacing w:line="288" w:lineRule="auto"/>
        <w:rPr>
          <w:rFonts w:ascii="宋体" w:hAnsi="宋体"/>
          <w:szCs w:val="21"/>
        </w:rPr>
      </w:pPr>
      <w:r>
        <w:rPr>
          <w:rFonts w:hint="eastAsia" w:ascii="Times New Roman" w:hAnsi="Times New Roman"/>
        </w:rPr>
        <w:t>结果证实了上述假设，则F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中腋生</w:t>
      </w:r>
      <w:r>
        <w:rPr>
          <w:rFonts w:hint="eastAsia" w:ascii="宋体" w:hAnsi="宋体"/>
        </w:rPr>
        <w:t>:</w:t>
      </w:r>
      <w:r>
        <w:rPr>
          <w:rFonts w:hint="eastAsia" w:ascii="Times New Roman" w:hAnsi="Times New Roman"/>
        </w:rPr>
        <w:t>顶生的理论比例为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，并可推出（2）中顶生亲本的基因型是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</w:p>
    <w:p w14:paraId="5347FC0E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（4）研究发现群体中控制黄色子叶的Y基因有两种突变形式y-1和y-2，基因结构示意图如下。Y突变为y-1导致其表达的蛋白功能丧失，Y突变为y-2导致</w:t>
      </w:r>
      <w:r>
        <w:rPr>
          <w:rFonts w:ascii="宋体" w:hAnsi="宋体"/>
          <w:szCs w:val="21"/>
        </w:rPr>
        <w:t>________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Times New Roman" w:hAnsi="Times New Roman"/>
        </w:rPr>
        <w:t>y-1和y-2纯合突变体都表现为绿色子叶。</w:t>
      </w:r>
    </w:p>
    <w:p w14:paraId="18664C70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3149600" cy="1092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861" cy="10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D93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在一次y-1纯合体与y-2纯合体杂交中，F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全部为绿色子叶，F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出现黄色子叶个体，这种现象可因减数分裂过程中发生染色体互换引起。图中哪一个位点发生断裂并交换能解释上述现象？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（填“①”或“②”或“③”）。若此F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个体的20个花粉母细胞（精母细胞）在减数分裂中各发生一次此类交换，在减数分裂完成时会产生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个具有正常功能Y基因的子细胞。</w:t>
      </w:r>
    </w:p>
    <w:p w14:paraId="210751D5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【参考答案】（1）分离。</w:t>
      </w:r>
    </w:p>
    <w:p w14:paraId="638A35BF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（2）不能；基因突变频率低，无法导致 20% 以上子代性状改变。</w:t>
      </w:r>
    </w:p>
    <w:p w14:paraId="7779EF69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（3）27:5；ffDD 或 ffDd。</w:t>
      </w:r>
    </w:p>
    <w:p w14:paraId="561CE6D3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（4）启动子缺失，基因无法转录；②；40。</w:t>
      </w:r>
    </w:p>
    <w:p w14:paraId="0867B163">
      <w:pPr>
        <w:spacing w:line="288" w:lineRule="auto"/>
        <w:rPr>
          <w:rFonts w:hint="eastAsia" w:ascii="Times New Roman" w:hAnsi="Times New Roman"/>
        </w:rPr>
      </w:pPr>
    </w:p>
    <w:p w14:paraId="4B2FE5B0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25．（11分）香树脂醇具有抗炎等功效，从植物中提取难度大、产率低。通过在酵母菌中表达外源香树脂醇合酶基因N，可高效生产香树脂醇。回答下列问题。</w:t>
      </w:r>
    </w:p>
    <w:p w14:paraId="3FA8DB7A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（1）可从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中查询基因N的编码序列，设计特定引物。如图1所示，a链为转录模板链，为保证基因N与质粒pYL正确连接，需在引物1和引物2的5</w:t>
      </w:r>
      <w:r>
        <w:rPr>
          <w:rFonts w:hint="eastAsia" w:ascii="Times New Roman" w:hAnsi="Times New Roman"/>
          <w:i/>
        </w:rPr>
        <w:t>'</w:t>
      </w:r>
      <w:r>
        <w:rPr>
          <w:rFonts w:hint="eastAsia" w:ascii="Times New Roman" w:hAnsi="Times New Roman"/>
        </w:rPr>
        <w:t>端分别引入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和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限制酶识别序列。PCR扩增基因N，特异性酶切后，利用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连接DNA片段，构建重组质粒，大小约9.5kb（kb为千碱基对），假设构建重组质粒前后，质粒pYL对应部分大小基本不变。</w:t>
      </w:r>
    </w:p>
    <w:p w14:paraId="3EFF61CF"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476500" cy="24066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652270" cy="2159000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2296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BF3F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（2）进一步筛选构建的质粒，以1-4号菌株中提取的质粒为模板，使用引物1和引物2进行PCR扩增，电泳PCR产物，结果如图2。在第5组的PCR反应中，使用无菌水代替实验组的模板DNA，目的是检验PCR反应中是否有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的污染。初步判断实验组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（从“1~4”中选填）的质粒中成功插入了基因N，理由是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</w:t>
      </w:r>
    </w:p>
    <w:p w14:paraId="684C05E8"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为提高香树脂醇合酶催化效率，将编码第240位脯氨酸或第243位苯丙氨酸的碱基序列替换为编码丙氨酸的碱基序列，丙氨酸的密码子有GCA等。a是诱变第240位脯氨酸编码序列的引物（GCA为诱变序列），b、c、d其中一条是诱变第243位苯丙氨酸的引物，其配对模板与a的配对模板相同。据此分析，丙氨酸的密码子除GCA外，还有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</w:t>
      </w:r>
    </w:p>
    <w:p w14:paraId="2E82B294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GCA/CCC/GAG/TTC/TGG/CTG/TTT/CCC/TCT/TTC/TTC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35C6EA11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b：5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GAA/CTG/TGG/GAC/ACC/CTG/AAC/TAC/TTC/TCT/GAG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7A123451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c：5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GCC/TGG/CTG/TTT/CCC/TCT/TTC/TTC/CCC/TAC/CAC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4E589022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d：5</w:t>
      </w:r>
      <w:r>
        <w:rPr>
          <w:rFonts w:ascii="Times New Roman" w:hAnsi="Times New Roman"/>
          <w:i/>
        </w:rPr>
        <w:t>'</w:t>
      </w:r>
      <w:r>
        <w:rPr>
          <w:rFonts w:ascii="Times New Roman" w:hAnsi="Times New Roman"/>
        </w:rPr>
        <w:t>-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GAT/AAT/AAG/ATC/CGA/GAG/AAG/GCC/ATG/CGA/AAG</w:t>
      </w:r>
      <w:r>
        <w:rPr>
          <w:rFonts w:hint="eastAsia" w:ascii="Times New Roman" w:hAnsi="Times New Roman"/>
        </w:rPr>
        <w:t>…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'</w:t>
      </w:r>
    </w:p>
    <w:p w14:paraId="73A0699A">
      <w:pPr>
        <w:numPr>
          <w:ilvl w:val="0"/>
          <w:numId w:val="2"/>
        </w:numPr>
        <w:spacing w:line="288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进一步检测转基因酵母菌发酵得到的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含量并进行比较，可以选出最优的香树脂醇合酶基因的改造方案。</w:t>
      </w:r>
    </w:p>
    <w:p w14:paraId="19C068CE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【参考答案】（1）基因数据库；SpeⅠ；HindⅢ；DNA 连接酶。</w:t>
      </w:r>
    </w:p>
    <w:p w14:paraId="33871973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（2）试剂；3、4；其 PCR 产物大小大于对照组（空白组无条带）。</w:t>
      </w:r>
    </w:p>
    <w:p w14:paraId="46E3B44B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（3）GCC、GCG、GCU。</w:t>
      </w:r>
    </w:p>
    <w:p w14:paraId="75596469">
      <w:pPr>
        <w:spacing w:line="288" w:lineRule="auto"/>
        <w:rPr>
          <w:rFonts w:hint="eastAsia" w:ascii="Times New Roman" w:hAnsi="Times New Roman"/>
          <w:color w:val="0000FF"/>
          <w:lang w:val="en-US" w:eastAsia="zh-CN"/>
        </w:rPr>
      </w:pPr>
      <w:r>
        <w:rPr>
          <w:rFonts w:hint="eastAsia" w:ascii="Times New Roman" w:hAnsi="Times New Roman"/>
          <w:color w:val="0000FF"/>
          <w:lang w:val="en-US" w:eastAsia="zh-CN"/>
        </w:rPr>
        <w:t>（4）香树脂醇。</w:t>
      </w:r>
    </w:p>
    <w:p w14:paraId="34E4412A">
      <w:pPr>
        <w:numPr>
          <w:numId w:val="0"/>
        </w:num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</w:t>
      </w:r>
    </w:p>
    <w:sectPr>
      <w:footerReference r:id="rId3" w:type="default"/>
      <w:pgSz w:w="11906" w:h="16838"/>
      <w:pgMar w:top="1304" w:right="964" w:bottom="1304" w:left="96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469A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6E215"/>
    <w:multiLevelType w:val="singleLevel"/>
    <w:tmpl w:val="8C56E215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965BCD80"/>
    <w:multiLevelType w:val="singleLevel"/>
    <w:tmpl w:val="965BCD80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55C4"/>
    <w:rsid w:val="000460FF"/>
    <w:rsid w:val="00046B2A"/>
    <w:rsid w:val="00054E7B"/>
    <w:rsid w:val="00074696"/>
    <w:rsid w:val="000E4D02"/>
    <w:rsid w:val="000E4FF1"/>
    <w:rsid w:val="0011250B"/>
    <w:rsid w:val="001177F3"/>
    <w:rsid w:val="0016238F"/>
    <w:rsid w:val="00171458"/>
    <w:rsid w:val="00173C1D"/>
    <w:rsid w:val="001764C3"/>
    <w:rsid w:val="0018010E"/>
    <w:rsid w:val="00191C29"/>
    <w:rsid w:val="001C63DA"/>
    <w:rsid w:val="001D0C6F"/>
    <w:rsid w:val="00201A7E"/>
    <w:rsid w:val="00201C48"/>
    <w:rsid w:val="00204526"/>
    <w:rsid w:val="00221FC9"/>
    <w:rsid w:val="002323D2"/>
    <w:rsid w:val="00244CEF"/>
    <w:rsid w:val="002457C2"/>
    <w:rsid w:val="00245E4D"/>
    <w:rsid w:val="002908F0"/>
    <w:rsid w:val="00294908"/>
    <w:rsid w:val="002A0E5D"/>
    <w:rsid w:val="002A1A21"/>
    <w:rsid w:val="002F06B2"/>
    <w:rsid w:val="003102DB"/>
    <w:rsid w:val="00360479"/>
    <w:rsid w:val="003625C4"/>
    <w:rsid w:val="003731B4"/>
    <w:rsid w:val="00373D0A"/>
    <w:rsid w:val="00380FC5"/>
    <w:rsid w:val="003B1712"/>
    <w:rsid w:val="003C4A95"/>
    <w:rsid w:val="003D0C09"/>
    <w:rsid w:val="003E1FC2"/>
    <w:rsid w:val="004062F6"/>
    <w:rsid w:val="004151FC"/>
    <w:rsid w:val="00430A44"/>
    <w:rsid w:val="00435F83"/>
    <w:rsid w:val="00444A46"/>
    <w:rsid w:val="00445339"/>
    <w:rsid w:val="0046214C"/>
    <w:rsid w:val="0049183B"/>
    <w:rsid w:val="004A5070"/>
    <w:rsid w:val="004B225E"/>
    <w:rsid w:val="004B44B5"/>
    <w:rsid w:val="004C3FBE"/>
    <w:rsid w:val="004D44FD"/>
    <w:rsid w:val="0059145F"/>
    <w:rsid w:val="00596076"/>
    <w:rsid w:val="005B39DB"/>
    <w:rsid w:val="005C2124"/>
    <w:rsid w:val="005F1362"/>
    <w:rsid w:val="005F3A47"/>
    <w:rsid w:val="00605626"/>
    <w:rsid w:val="006071D5"/>
    <w:rsid w:val="00611CEA"/>
    <w:rsid w:val="0062039B"/>
    <w:rsid w:val="00623C16"/>
    <w:rsid w:val="00637D3A"/>
    <w:rsid w:val="00640BF5"/>
    <w:rsid w:val="00662690"/>
    <w:rsid w:val="006D5DE9"/>
    <w:rsid w:val="006F45E0"/>
    <w:rsid w:val="00701D6B"/>
    <w:rsid w:val="007061B2"/>
    <w:rsid w:val="00713BAF"/>
    <w:rsid w:val="00716D85"/>
    <w:rsid w:val="00740A09"/>
    <w:rsid w:val="00762E26"/>
    <w:rsid w:val="007706D9"/>
    <w:rsid w:val="007E5413"/>
    <w:rsid w:val="008028B5"/>
    <w:rsid w:val="0082649F"/>
    <w:rsid w:val="00832EC9"/>
    <w:rsid w:val="008634CD"/>
    <w:rsid w:val="008731FA"/>
    <w:rsid w:val="00880A38"/>
    <w:rsid w:val="00893DD6"/>
    <w:rsid w:val="008D2E94"/>
    <w:rsid w:val="009121D7"/>
    <w:rsid w:val="00974E0F"/>
    <w:rsid w:val="00982128"/>
    <w:rsid w:val="00991592"/>
    <w:rsid w:val="009A27BF"/>
    <w:rsid w:val="009B5666"/>
    <w:rsid w:val="009C4252"/>
    <w:rsid w:val="009D2D70"/>
    <w:rsid w:val="00A07DF2"/>
    <w:rsid w:val="00A405DB"/>
    <w:rsid w:val="00A46D54"/>
    <w:rsid w:val="00A536B0"/>
    <w:rsid w:val="00A91404"/>
    <w:rsid w:val="00AB3EE3"/>
    <w:rsid w:val="00AD4827"/>
    <w:rsid w:val="00AD6B6A"/>
    <w:rsid w:val="00B41A27"/>
    <w:rsid w:val="00B73811"/>
    <w:rsid w:val="00B80D67"/>
    <w:rsid w:val="00B8100F"/>
    <w:rsid w:val="00B96924"/>
    <w:rsid w:val="00BB50C6"/>
    <w:rsid w:val="00BC4942"/>
    <w:rsid w:val="00BF7499"/>
    <w:rsid w:val="00C02815"/>
    <w:rsid w:val="00C02FC6"/>
    <w:rsid w:val="00C13493"/>
    <w:rsid w:val="00C321EB"/>
    <w:rsid w:val="00CA4A07"/>
    <w:rsid w:val="00D12496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008E9"/>
    <w:rsid w:val="00E22C2C"/>
    <w:rsid w:val="00E327C1"/>
    <w:rsid w:val="00E5249E"/>
    <w:rsid w:val="00E63075"/>
    <w:rsid w:val="00E853D8"/>
    <w:rsid w:val="00E97096"/>
    <w:rsid w:val="00E97E6F"/>
    <w:rsid w:val="00EA0188"/>
    <w:rsid w:val="00EB17B4"/>
    <w:rsid w:val="00EC046A"/>
    <w:rsid w:val="00ED1550"/>
    <w:rsid w:val="00ED4F9A"/>
    <w:rsid w:val="00EE1A37"/>
    <w:rsid w:val="00EF7937"/>
    <w:rsid w:val="00F21C80"/>
    <w:rsid w:val="00F24894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06F1001A"/>
    <w:rsid w:val="0C3461C0"/>
    <w:rsid w:val="24365D33"/>
    <w:rsid w:val="38274566"/>
    <w:rsid w:val="ABBBE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character" w:customStyle="1" w:styleId="9">
    <w:name w:val="页眉 Char"/>
    <w:basedOn w:val="7"/>
    <w:link w:val="4"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C0A722-833A-4A26-B3C6-60A32D0FF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6051</Words>
  <Characters>6876</Characters>
  <Lines>51</Lines>
  <Paragraphs>14</Paragraphs>
  <TotalTime>17</TotalTime>
  <ScaleCrop>false</ScaleCrop>
  <LinksUpToDate>false</LinksUpToDate>
  <CharactersWithSpaces>7061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2020-02-26T09:07:00Z</dcterms:created>
  <dc:creator>琦</dc:creator>
  <cp:lastModifiedBy>田玉囡</cp:lastModifiedBy>
  <dcterms:modified xsi:type="dcterms:W3CDTF">2025-06-10T13:10:10Z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eyJoZGlkIjoiZDk3ODBhZGZmYjhhODk0NzI1MDMzMTAwYjJmYTAwYTAiLCJ1c2VySWQiOiIxNjM5MTMyOTA3In0=</vt:lpwstr>
  </property>
  <property fmtid="{D5CDD505-2E9C-101B-9397-08002B2CF9AE}" pid="7" name="KSOProductBuildVer">
    <vt:lpwstr>2052-12.1.0.21171</vt:lpwstr>
  </property>
  <property fmtid="{D5CDD505-2E9C-101B-9397-08002B2CF9AE}" pid="8" name="ICV">
    <vt:lpwstr>FB83CEC94BCA45D28137C1ED139EDACC_12</vt:lpwstr>
  </property>
</Properties>
</file>