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F2B"/>
          <w:sz w:val="34"/>
          <w:szCs w:val="34"/>
        </w:rPr>
        <w:t xml:space="preserve">3. Teknik Yaklaşım</w:t>
      </w:r>
    </w:p>
    <w:p>
      <w:pPr>
        <w:pBdr>
          <w:bottom w:val="single" w:color="2F5FE0" w:sz="6"/>
        </w:pBdr>
        <w:spacing w:after="240"/>
      </w:pPr>
      <w:r>
        <w:rPr>
          <w:rFonts w:ascii="Calibri" w:cs="Calibri" w:eastAsia="Calibri" w:hAnsi="Calibri"/>
          <w:i/>
          <w:iCs/>
          <w:color w:val="5B6472"/>
          <w:sz w:val="22"/>
          <w:szCs w:val="22"/>
        </w:rPr>
        <w:t xml:space="preserve">Erişilebilir Destek · Teknik Rapor Taslağı</w:t>
      </w:r>
    </w:p>
    <w:p>
      <w:pPr>
        <w:pStyle w:val="Heading1"/>
        <w:spacing w:after="140" w:before="240"/>
      </w:pPr>
      <w:r>
        <w:rPr>
          <w:rFonts w:ascii="Calibri" w:cs="Calibri" w:eastAsia="Calibri" w:hAnsi="Calibri"/>
          <w:b/>
          <w:bCs/>
          <w:color w:val="1A1F2B"/>
          <w:sz w:val="30"/>
          <w:szCs w:val="30"/>
        </w:rPr>
        <w:t xml:space="preserve">3.2  Model ve Veri Doğrulama Planı</w:t>
      </w:r>
    </w:p>
    <w:p>
      <w:pPr>
        <w:spacing w:after="160" w:line="276"/>
        <w:jc w:val="both"/>
      </w:pPr>
      <w:r>
        <w:rPr>
          <w:rFonts w:ascii="Calibri" w:cs="Calibri" w:eastAsia="Calibri" w:hAnsi="Calibri"/>
          <w:color w:val="1A1F2B"/>
          <w:sz w:val="22"/>
          <w:szCs w:val="22"/>
        </w:rPr>
        <w:t xml:space="preserve">Bu bölüm, platformdaki yapay zeka modüllerinin başarısını nasıl ölçeceğimizi anlatır. Projede sıfırdan bir model eğitmiyoruz; görsel açıklama için Gemini, otomatik altyazı için Whisper gibi hazır (önceden eğitilmiş) modeller kullanıyoruz. Bu yüzden doğrulama, “modeli ne kadar iyi eğittik” sorusuna değil, “bu hazır modeller bizim Türkçe ve erişilebilirlik senaryomuzda ne kadar iyi çalışıyor” sorusuna cevap arar.</w:t>
      </w:r>
    </w:p>
    <w:p>
      <w:pPr>
        <w:pStyle w:val="Heading2"/>
        <w:spacing w:after="120" w:before="220"/>
      </w:pPr>
      <w:r>
        <w:rPr>
          <w:rFonts w:ascii="Calibri" w:cs="Calibri" w:eastAsia="Calibri" w:hAnsi="Calibri"/>
          <w:b/>
          <w:bCs/>
          <w:color w:val="2F5FE0"/>
          <w:sz w:val="25"/>
          <w:szCs w:val="25"/>
        </w:rPr>
        <w:t xml:space="preserve">3.2.1  Doğrulama Yaklaşımı: Neden Eğitim Yapılmıyor</w:t>
      </w:r>
    </w:p>
    <w:p>
      <w:pPr>
        <w:spacing w:after="160" w:line="276"/>
        <w:jc w:val="both"/>
      </w:pPr>
      <w:r>
        <w:rPr>
          <w:rFonts w:ascii="Calibri" w:cs="Calibri" w:eastAsia="Calibri" w:hAnsi="Calibri"/>
          <w:color w:val="1A1F2B"/>
          <w:sz w:val="22"/>
          <w:szCs w:val="22"/>
        </w:rPr>
        <w:t xml:space="preserve">Ekip olarak yeni bir model eğitmek yerine, alanında güçlü ve hazır modelleri kullanmayı tercih ettik. Bunun nedeni, sıfırdan eğitimin büyük miktarda etiketli Türkçe veri, yüksek donanım ve uzun süre gerektirmesi; oysa hazır modellerin bu işi projemizin kapsamı için yeterli başarıyla yapmasıdır. Dolayısıyla doğrulamamız bir “eğitim başarısı” ölçümü değil, hazır modellerin bizim senaryomuzdaki performansını sınayan bir değerlendirmedir.</w:t>
      </w:r>
    </w:p>
    <w:p>
      <w:pPr>
        <w:spacing w:after="160" w:line="276"/>
        <w:jc w:val="both"/>
      </w:pPr>
      <w:r>
        <w:rPr>
          <w:rFonts w:ascii="Calibri" w:cs="Calibri" w:eastAsia="Calibri" w:hAnsi="Calibri"/>
          <w:color w:val="1A1F2B"/>
          <w:sz w:val="22"/>
          <w:szCs w:val="22"/>
        </w:rPr>
        <w:t xml:space="preserve">Bunu yapabilmek için her modül için küçük ama temsili bir Türkçe test kümesi hazırlıyoruz. Bu kümedeki her örneğin, insan tarafından hazırlanmış bir “altın referansı” (doğru kabul edilen çıktı) bulunur: görseller için referans alt metin, videolar için referans transkript/altyazı, karmaşık metinler için referans sade metin. Modelin ürettiği çıktıyı bu referansla karşılaştırarak başarıyı sayısal olarak ölçeriz.</w:t>
      </w:r>
    </w:p>
    <w:p>
      <w:pPr>
        <w:pStyle w:val="Heading2"/>
        <w:spacing w:after="120" w:before="220"/>
      </w:pPr>
      <w:r>
        <w:rPr>
          <w:rFonts w:ascii="Calibri" w:cs="Calibri" w:eastAsia="Calibri" w:hAnsi="Calibri"/>
          <w:b/>
          <w:bCs/>
          <w:color w:val="2F5FE0"/>
          <w:sz w:val="25"/>
          <w:szCs w:val="25"/>
        </w:rPr>
        <w:t xml:space="preserve">3.2.2  Test Kümesi ve Test Bölmesi</w:t>
      </w:r>
    </w:p>
    <w:p>
      <w:pPr>
        <w:spacing w:after="160" w:line="276"/>
        <w:jc w:val="both"/>
      </w:pPr>
      <w:r>
        <w:rPr>
          <w:rFonts w:ascii="Calibri" w:cs="Calibri" w:eastAsia="Calibri" w:hAnsi="Calibri"/>
          <w:color w:val="1A1F2B"/>
          <w:sz w:val="22"/>
          <w:szCs w:val="22"/>
        </w:rPr>
        <w:t xml:space="preserve">Eğitim yapmadığımız için klasik eğitim/doğrulama/test ayrımına ihtiyacımız yok. Ancak modelleri veya ayarları (örneğin Whisper'ın hangi boyutunun kullanılacağı ya da Gemini istemi) adil biçimde karşılaştırabilmek için test kümesini iki parçaya ayırıyoruz. Küçük bir geliştirme (dev) kümesinde denemeler yapıp başarı eşiklerini belirliyor; ayrı tuttuğumuz değerlendirme (test) kümesini ise yalnızca en sonda, tek seferlik ölçüm için kullanıyoruz. Test kümesine geliştirme sırasında bakmıyoruz ki sonuç yanlı çıkmasın.</w:t>
      </w:r>
    </w:p>
    <w:tbl>
      <w:tblPr>
        <w:tblW w:type="dxa" w:w="9020"/>
        <w:tblBorders>
          <w:top w:val="single" w:color="C7D3F7" w:sz="4"/>
          <w:left w:val="single" w:color="C7D3F7" w:sz="4"/>
          <w:bottom w:val="single" w:color="C7D3F7" w:sz="4"/>
          <w:right w:val="single" w:color="C7D3F7" w:sz="4"/>
          <w:insideH w:val="single" w:color="C7D3F7" w:sz="4"/>
          <w:insideV w:val="single" w:color="C7D3F7" w:sz="4"/>
        </w:tblBorders>
      </w:tblPr>
      <w:tblGrid>
        <w:gridCol w:w="2600"/>
        <w:gridCol w:w="3200"/>
        <w:gridCol w:w="3220"/>
      </w:tblGrid>
      <w:tr>
        <w:trPr>
          <w:tblHeader/>
        </w:trPr>
        <w:tc>
          <w:tcPr>
            <w:tcW w:type="dxa" w:w="260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Aşama</w:t>
            </w:r>
          </w:p>
        </w:tc>
        <w:tc>
          <w:tcPr>
            <w:tcW w:type="dxa" w:w="320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Amaç</w:t>
            </w:r>
          </w:p>
        </w:tc>
        <w:tc>
          <w:tcPr>
            <w:tcW w:type="dxa" w:w="322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Örnek oranı / sayısı</w:t>
            </w:r>
          </w:p>
        </w:tc>
      </w:tr>
      <w:tr>
        <w:tc>
          <w:tcPr>
            <w:tcW w:type="dxa" w:w="2600"/>
            <w:tcMar>
              <w:top w:type="dxa" w:w="50"/>
              <w:left w:type="dxa" w:w="90"/>
              <w:bottom w:type="dxa" w:w="50"/>
              <w:right w:type="dxa" w:w="90"/>
            </w:tcMar>
          </w:tcPr>
          <w:p>
            <w:pPr>
              <w:spacing w:after="0" w:line="244"/>
            </w:pPr>
            <w:r>
              <w:rPr>
                <w:rFonts w:ascii="Calibri" w:cs="Calibri" w:eastAsia="Calibri" w:hAnsi="Calibri"/>
                <w:b/>
                <w:bCs/>
                <w:color w:val="1A1F2B"/>
                <w:sz w:val="20"/>
                <w:szCs w:val="20"/>
              </w:rPr>
              <w:t xml:space="preserve">Geliştirme (dev) kümesi</w:t>
            </w:r>
          </w:p>
        </w:tc>
        <w:tc>
          <w:tcPr>
            <w:tcW w:type="dxa" w:w="3200"/>
            <w:tcMar>
              <w:top w:type="dxa" w:w="50"/>
              <w:left w:type="dxa" w:w="90"/>
              <w:bottom w:type="dxa" w:w="50"/>
              <w:right w:type="dxa" w:w="90"/>
            </w:tcMar>
          </w:tcPr>
          <w:p>
            <w:pPr>
              <w:spacing w:after="0" w:line="244"/>
            </w:pPr>
            <w:r>
              <w:rPr>
                <w:rFonts w:ascii="Calibri" w:cs="Calibri" w:eastAsia="Calibri" w:hAnsi="Calibri"/>
                <w:b w:val="false"/>
                <w:bCs w:val="false"/>
                <w:color w:val="1A1F2B"/>
                <w:sz w:val="20"/>
                <w:szCs w:val="20"/>
              </w:rPr>
              <w:t xml:space="preserve">Model/parametre denemek, başarı eşiklerini belirlemek (ör. Whisper boyutu, prompt).</w:t>
            </w:r>
          </w:p>
        </w:tc>
        <w:tc>
          <w:tcPr>
            <w:tcW w:type="dxa" w:w="3220"/>
            <w:tcMar>
              <w:top w:type="dxa" w:w="50"/>
              <w:left w:type="dxa" w:w="90"/>
              <w:bottom w:type="dxa" w:w="50"/>
              <w:right w:type="dxa" w:w="90"/>
            </w:tcMar>
          </w:tcPr>
          <w:p>
            <w:pPr>
              <w:spacing w:after="0" w:line="244"/>
            </w:pPr>
            <w:r>
              <w:rPr>
                <w:rFonts w:ascii="Calibri" w:cs="Calibri" w:eastAsia="Calibri" w:hAnsi="Calibri"/>
                <w:b w:val="false"/>
                <w:bCs w:val="false"/>
                <w:color w:val="1A1F2B"/>
                <w:sz w:val="20"/>
                <w:szCs w:val="20"/>
              </w:rPr>
              <w:t xml:space="preserve">Örneklerin ~%30'u (ör. görselde 12, videoda 5 örnek).</w:t>
            </w:r>
          </w:p>
        </w:tc>
      </w:tr>
      <w:tr>
        <w:tc>
          <w:tcPr>
            <w:tcW w:type="dxa" w:w="2600"/>
            <w:tcMar>
              <w:top w:type="dxa" w:w="50"/>
              <w:left w:type="dxa" w:w="90"/>
              <w:bottom w:type="dxa" w:w="50"/>
              <w:right w:type="dxa" w:w="90"/>
            </w:tcMar>
          </w:tcPr>
          <w:p>
            <w:pPr>
              <w:spacing w:after="0" w:line="244"/>
            </w:pPr>
            <w:r>
              <w:rPr>
                <w:rFonts w:ascii="Calibri" w:cs="Calibri" w:eastAsia="Calibri" w:hAnsi="Calibri"/>
                <w:b/>
                <w:bCs/>
                <w:color w:val="1A1F2B"/>
                <w:sz w:val="20"/>
                <w:szCs w:val="20"/>
              </w:rPr>
              <w:t xml:space="preserve">Değerlendirme (test) kümesi</w:t>
            </w:r>
          </w:p>
        </w:tc>
        <w:tc>
          <w:tcPr>
            <w:tcW w:type="dxa" w:w="3200"/>
            <w:tcMar>
              <w:top w:type="dxa" w:w="50"/>
              <w:left w:type="dxa" w:w="90"/>
              <w:bottom w:type="dxa" w:w="50"/>
              <w:right w:type="dxa" w:w="90"/>
            </w:tcMar>
          </w:tcPr>
          <w:p>
            <w:pPr>
              <w:spacing w:after="0" w:line="244"/>
            </w:pPr>
            <w:r>
              <w:rPr>
                <w:rFonts w:ascii="Calibri" w:cs="Calibri" w:eastAsia="Calibri" w:hAnsi="Calibri"/>
                <w:b w:val="false"/>
                <w:bCs w:val="false"/>
                <w:color w:val="1A1F2B"/>
                <w:sz w:val="20"/>
                <w:szCs w:val="20"/>
              </w:rPr>
              <w:t xml:space="preserve">Yalnızca son ölçüm; sonucun yansız olması için geliştirme sırasında bakılmaz.</w:t>
            </w:r>
          </w:p>
        </w:tc>
        <w:tc>
          <w:tcPr>
            <w:tcW w:type="dxa" w:w="3220"/>
            <w:tcMar>
              <w:top w:type="dxa" w:w="50"/>
              <w:left w:type="dxa" w:w="90"/>
              <w:bottom w:type="dxa" w:w="50"/>
              <w:right w:type="dxa" w:w="90"/>
            </w:tcMar>
          </w:tcPr>
          <w:p>
            <w:pPr>
              <w:spacing w:after="0" w:line="244"/>
            </w:pPr>
            <w:r>
              <w:rPr>
                <w:rFonts w:ascii="Calibri" w:cs="Calibri" w:eastAsia="Calibri" w:hAnsi="Calibri"/>
                <w:b w:val="false"/>
                <w:bCs w:val="false"/>
                <w:color w:val="1A1F2B"/>
                <w:sz w:val="20"/>
                <w:szCs w:val="20"/>
              </w:rPr>
              <w:t xml:space="preserve">Örneklerin ~%70'i (ör. görselde 28, videoda 10 örnek).</w:t>
            </w:r>
          </w:p>
        </w:tc>
      </w:tr>
    </w:tbl>
    <w:p>
      <w:pPr>
        <w:spacing w:after="200"/>
        <w:jc w:val="center"/>
      </w:pPr>
      <w:r>
        <w:rPr>
          <w:rFonts w:ascii="Calibri" w:cs="Calibri" w:eastAsia="Calibri" w:hAnsi="Calibri"/>
          <w:i/>
          <w:iCs/>
          <w:color w:val="5B6472"/>
          <w:sz w:val="18"/>
          <w:szCs w:val="18"/>
        </w:rPr>
        <w:t xml:space="preserve">Tablo 3.2.1. Test kümesinin geliştirme ve değerlendirme olarak bölünmesi.</w:t>
      </w:r>
    </w:p>
    <w:p>
      <w:pPr>
        <w:pStyle w:val="Heading2"/>
        <w:spacing w:after="120" w:before="220"/>
      </w:pPr>
      <w:r>
        <w:rPr>
          <w:rFonts w:ascii="Calibri" w:cs="Calibri" w:eastAsia="Calibri" w:hAnsi="Calibri"/>
          <w:b/>
          <w:bCs/>
          <w:color w:val="2F5FE0"/>
          <w:sz w:val="25"/>
          <w:szCs w:val="25"/>
        </w:rPr>
        <w:t xml:space="preserve">3.2.3  Modül Bazında Doğrulama: Girdi, Çıktı ve Metrik</w:t>
      </w:r>
    </w:p>
    <w:p>
      <w:pPr>
        <w:spacing w:after="160" w:line="276"/>
        <w:jc w:val="both"/>
      </w:pPr>
      <w:r>
        <w:rPr>
          <w:rFonts w:ascii="Calibri" w:cs="Calibri" w:eastAsia="Calibri" w:hAnsi="Calibri"/>
          <w:color w:val="1A1F2B"/>
          <w:sz w:val="22"/>
          <w:szCs w:val="22"/>
        </w:rPr>
        <w:t xml:space="preserve">Aşağıdaki tablo, her modül için hangi giriş verisini kullandığımızı, ondan ne tür bir çıktı beklediğimizi, bu çıktıyı hangi metrikle ölçtüğümüzü ve neyi “başarılı” saydığımızı bir arada gösterir. Kabul ölçütümüz gereği özellikle alt metin ve altyazı için ölçüm yöntemi ve başarı kriteri açıkça tanımlanmıştır.</w:t>
      </w:r>
    </w:p>
    <w:tbl>
      <w:tblPr>
        <w:tblW w:type="dxa" w:w="9020"/>
        <w:tblBorders>
          <w:top w:val="single" w:color="C7D3F7" w:sz="4"/>
          <w:left w:val="single" w:color="C7D3F7" w:sz="4"/>
          <w:bottom w:val="single" w:color="C7D3F7" w:sz="4"/>
          <w:right w:val="single" w:color="C7D3F7" w:sz="4"/>
          <w:insideH w:val="single" w:color="C7D3F7" w:sz="4"/>
          <w:insideV w:val="single" w:color="C7D3F7" w:sz="4"/>
        </w:tblBorders>
      </w:tblPr>
      <w:tblGrid>
        <w:gridCol w:w="1500"/>
        <w:gridCol w:w="1900"/>
        <w:gridCol w:w="1900"/>
        <w:gridCol w:w="1900"/>
        <w:gridCol w:w="1820"/>
      </w:tblGrid>
      <w:tr>
        <w:trPr>
          <w:tblHeader/>
        </w:trPr>
        <w:tc>
          <w:tcPr>
            <w:tcW w:type="dxa" w:w="150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Modül</w:t>
            </w:r>
          </w:p>
        </w:tc>
        <w:tc>
          <w:tcPr>
            <w:tcW w:type="dxa" w:w="190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Girdi Verisi</w:t>
            </w:r>
          </w:p>
        </w:tc>
        <w:tc>
          <w:tcPr>
            <w:tcW w:type="dxa" w:w="190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Beklenen Çıktı</w:t>
            </w:r>
          </w:p>
        </w:tc>
        <w:tc>
          <w:tcPr>
            <w:tcW w:type="dxa" w:w="190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Ölçüm Metriği</w:t>
            </w:r>
          </w:p>
        </w:tc>
        <w:tc>
          <w:tcPr>
            <w:tcW w:type="dxa" w:w="182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Başarı Kriteri</w:t>
            </w:r>
          </w:p>
        </w:tc>
      </w:tr>
      <w:tr>
        <w:tc>
          <w:tcPr>
            <w:tcW w:type="dxa" w:w="1500"/>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Görsel Açıklama (alt-text)</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Etiketli görseller (insan, mekan, yazı/grafik içeren; çeşitli).</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W3C uyumlu, nesnel Türkçe alternatif metin.</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İnsan değerlendirmesi (doğruluk, eksiksizlik, akıcılık; 1–5) + referansa karşı BERTScore.</w:t>
            </w:r>
          </w:p>
        </w:tc>
        <w:tc>
          <w:tcPr>
            <w:tcW w:type="dxa" w:w="182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Ortalama insan puanı ≥ 4/5 ve BERTScore F1 ≥ 0.80.</w:t>
            </w:r>
          </w:p>
        </w:tc>
      </w:tr>
      <w:tr>
        <w:tc>
          <w:tcPr>
            <w:tcW w:type="dxa" w:w="1500"/>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Otomatik Altyazı</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Türkçe konuşmalı videolar (temiz, gürültülü, müzikli, farklı format).</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Zaman kodlu Türkçe altyazı (WebVTT/SRT).</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WER (Kelime Hata Oranı) referans transkripte karşı + zaman kodu hiza sapması.</w:t>
            </w:r>
          </w:p>
        </w:tc>
        <w:tc>
          <w:tcPr>
            <w:tcW w:type="dxa" w:w="182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Temiz seste WER ≤ %15, gürültülüde ≤ %30; zaman sapması ≤ 0,5 sn.</w:t>
            </w:r>
          </w:p>
        </w:tc>
      </w:tr>
      <w:tr>
        <w:tc>
          <w:tcPr>
            <w:tcW w:type="dxa" w:w="1500"/>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Sadeleştirme (NLP)</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Uzun/karmaşık Türkçe metinler.</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Anlamı koruyan, sade Türkçe metin.</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Okunabilirlik puanı değişimi (Ateşman) + anlam korunumu (BERTScore / insan onayı).</w:t>
            </w:r>
          </w:p>
        </w:tc>
        <w:tc>
          <w:tcPr>
            <w:tcW w:type="dxa" w:w="182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Okunabilirlikte belirgin artış (≈ +15) ve anlam korunumu yüksek.</w:t>
            </w:r>
          </w:p>
        </w:tc>
      </w:tr>
      <w:tr>
        <w:tc>
          <w:tcPr>
            <w:tcW w:type="dxa" w:w="1500"/>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Erişilebilirlik Puanlama</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Arayüz/içerik örnekleri (renk, yazı, düzen).</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0–100 erişilebilirlik puanı + kontrast/okunabilirlik.</w:t>
            </w:r>
          </w:p>
        </w:tc>
        <w:tc>
          <w:tcPr>
            <w:tcW w:type="dxa" w:w="190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Uzman referans puanıyla tutarlılık (mutlak fark, korelasyon).</w:t>
            </w:r>
          </w:p>
        </w:tc>
        <w:tc>
          <w:tcPr>
            <w:tcW w:type="dxa" w:w="1820"/>
            <w:tcMar>
              <w:top w:type="dxa" w:w="50"/>
              <w:left w:type="dxa" w:w="90"/>
              <w:bottom w:type="dxa" w:w="50"/>
              <w:right w:type="dxa" w:w="90"/>
            </w:tcMar>
          </w:tcPr>
          <w:p>
            <w:pPr>
              <w:spacing w:after="0" w:line="244"/>
            </w:pPr>
            <w:r>
              <w:rPr>
                <w:rFonts w:ascii="Calibri" w:cs="Calibri" w:eastAsia="Calibri" w:hAnsi="Calibri"/>
                <w:b w:val="false"/>
                <w:bCs w:val="false"/>
                <w:color w:val="1A1F2B"/>
                <w:sz w:val="18"/>
                <w:szCs w:val="18"/>
              </w:rPr>
              <w:t xml:space="preserve">Uzman puanıyla mutlak fark ≤ 10; korelasyon ≥ 0,7.</w:t>
            </w:r>
          </w:p>
        </w:tc>
      </w:tr>
    </w:tbl>
    <w:p>
      <w:pPr>
        <w:spacing w:after="200"/>
        <w:jc w:val="center"/>
      </w:pPr>
      <w:r>
        <w:rPr>
          <w:rFonts w:ascii="Calibri" w:cs="Calibri" w:eastAsia="Calibri" w:hAnsi="Calibri"/>
          <w:i/>
          <w:iCs/>
          <w:color w:val="5B6472"/>
          <w:sz w:val="18"/>
          <w:szCs w:val="18"/>
        </w:rPr>
        <w:t xml:space="preserve">Tablo 3.2.2. Modül bazında girdi, beklenen çıktı, metrik ve başarı kriteri.</w:t>
      </w:r>
    </w:p>
    <w:p>
      <w:pPr>
        <w:pStyle w:val="Heading2"/>
        <w:spacing w:after="120" w:before="220"/>
      </w:pPr>
      <w:r>
        <w:rPr>
          <w:rFonts w:ascii="Calibri" w:cs="Calibri" w:eastAsia="Calibri" w:hAnsi="Calibri"/>
          <w:b/>
          <w:bCs/>
          <w:color w:val="2F5FE0"/>
          <w:sz w:val="25"/>
          <w:szCs w:val="25"/>
        </w:rPr>
        <w:t xml:space="preserve">3.2.4  Performans Metriklerinin Tanımı</w:t>
      </w:r>
    </w:p>
    <w:p>
      <w:pPr>
        <w:spacing w:after="160" w:line="276"/>
        <w:jc w:val="both"/>
      </w:pPr>
      <w:r>
        <w:rPr>
          <w:rFonts w:ascii="Calibri" w:cs="Calibri" w:eastAsia="Calibri" w:hAnsi="Calibri"/>
          <w:color w:val="1A1F2B"/>
          <w:sz w:val="22"/>
          <w:szCs w:val="22"/>
        </w:rPr>
        <w:t xml:space="preserve">Kullandığımız metrikler farklı çıktı türlerine göre seçilmiştir. Aşağıdaki tablo her metriğin ne ölçtüğünü kısaca açıklar.</w:t>
      </w:r>
    </w:p>
    <w:tbl>
      <w:tblPr>
        <w:tblW w:type="dxa" w:w="9020"/>
        <w:tblBorders>
          <w:top w:val="single" w:color="C7D3F7" w:sz="4"/>
          <w:left w:val="single" w:color="C7D3F7" w:sz="4"/>
          <w:bottom w:val="single" w:color="C7D3F7" w:sz="4"/>
          <w:right w:val="single" w:color="C7D3F7" w:sz="4"/>
          <w:insideH w:val="single" w:color="C7D3F7" w:sz="4"/>
          <w:insideV w:val="single" w:color="C7D3F7" w:sz="4"/>
        </w:tblBorders>
      </w:tblPr>
      <w:tblGrid>
        <w:gridCol w:w="2600"/>
        <w:gridCol w:w="6420"/>
      </w:tblGrid>
      <w:tr>
        <w:trPr>
          <w:tblHeader/>
        </w:trPr>
        <w:tc>
          <w:tcPr>
            <w:tcW w:type="dxa" w:w="260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Metrik</w:t>
            </w:r>
          </w:p>
        </w:tc>
        <w:tc>
          <w:tcPr>
            <w:tcW w:type="dxa" w:w="6420"/>
            <w:shd w:fill="EEF2FD" w:color="auto" w:val="clear"/>
            <w:tcMar>
              <w:top w:type="dxa" w:w="50"/>
              <w:left w:type="dxa" w:w="90"/>
              <w:bottom w:type="dxa" w:w="50"/>
              <w:right w:type="dxa" w:w="90"/>
            </w:tcMar>
          </w:tcPr>
          <w:p>
            <w:pPr>
              <w:spacing w:after="0" w:line="244"/>
            </w:pPr>
            <w:r>
              <w:rPr>
                <w:rFonts w:ascii="Calibri" w:cs="Calibri" w:eastAsia="Calibri" w:hAnsi="Calibri"/>
                <w:b/>
                <w:bCs/>
                <w:color w:val="1A1F2B"/>
                <w:sz w:val="18"/>
                <w:szCs w:val="18"/>
              </w:rPr>
              <w:t xml:space="preserve">Ne ölçer?</w:t>
            </w:r>
          </w:p>
        </w:tc>
      </w:tr>
      <w:tr>
        <w:tc>
          <w:tcPr>
            <w:tcW w:type="dxa" w:w="2600"/>
            <w:tcMar>
              <w:top w:type="dxa" w:w="50"/>
              <w:left w:type="dxa" w:w="90"/>
              <w:bottom w:type="dxa" w:w="50"/>
              <w:right w:type="dxa" w:w="90"/>
            </w:tcMar>
          </w:tcPr>
          <w:p>
            <w:pPr>
              <w:spacing w:after="0" w:line="244"/>
            </w:pPr>
            <w:r>
              <w:rPr>
                <w:rFonts w:ascii="Calibri" w:cs="Calibri" w:eastAsia="Calibri" w:hAnsi="Calibri"/>
                <w:b/>
                <w:bCs/>
                <w:color w:val="1A1F2B"/>
                <w:sz w:val="20"/>
                <w:szCs w:val="20"/>
              </w:rPr>
              <w:t xml:space="preserve">WER (Kelime Hata Oranı)</w:t>
            </w:r>
          </w:p>
        </w:tc>
        <w:tc>
          <w:tcPr>
            <w:tcW w:type="dxa" w:w="6420"/>
            <w:tcMar>
              <w:top w:type="dxa" w:w="50"/>
              <w:left w:type="dxa" w:w="90"/>
              <w:bottom w:type="dxa" w:w="50"/>
              <w:right w:type="dxa" w:w="90"/>
            </w:tcMar>
          </w:tcPr>
          <w:p>
            <w:pPr>
              <w:spacing w:after="0" w:line="244"/>
            </w:pPr>
            <w:r>
              <w:rPr>
                <w:rFonts w:ascii="Calibri" w:cs="Calibri" w:eastAsia="Calibri" w:hAnsi="Calibri"/>
                <w:b w:val="false"/>
                <w:bCs w:val="false"/>
                <w:color w:val="1A1F2B"/>
                <w:sz w:val="20"/>
                <w:szCs w:val="20"/>
              </w:rPr>
              <w:t xml:space="preserve">Altyazı metninin referansa göre kelime bazlı hata oranı (ekleme+silme+değiştirme / toplam kelime). Düşük olması iyidir.</w:t>
            </w:r>
          </w:p>
        </w:tc>
      </w:tr>
      <w:tr>
        <w:tc>
          <w:tcPr>
            <w:tcW w:type="dxa" w:w="2600"/>
            <w:tcMar>
              <w:top w:type="dxa" w:w="50"/>
              <w:left w:type="dxa" w:w="90"/>
              <w:bottom w:type="dxa" w:w="50"/>
              <w:right w:type="dxa" w:w="90"/>
            </w:tcMar>
          </w:tcPr>
          <w:p>
            <w:pPr>
              <w:spacing w:after="0" w:line="244"/>
            </w:pPr>
            <w:r>
              <w:rPr>
                <w:rFonts w:ascii="Calibri" w:cs="Calibri" w:eastAsia="Calibri" w:hAnsi="Calibri"/>
                <w:b/>
                <w:bCs/>
                <w:color w:val="1A1F2B"/>
                <w:sz w:val="20"/>
                <w:szCs w:val="20"/>
              </w:rPr>
              <w:t xml:space="preserve">BERTScore / ROUGE</w:t>
            </w:r>
          </w:p>
        </w:tc>
        <w:tc>
          <w:tcPr>
            <w:tcW w:type="dxa" w:w="6420"/>
            <w:tcMar>
              <w:top w:type="dxa" w:w="50"/>
              <w:left w:type="dxa" w:w="90"/>
              <w:bottom w:type="dxa" w:w="50"/>
              <w:right w:type="dxa" w:w="90"/>
            </w:tcMar>
          </w:tcPr>
          <w:p>
            <w:pPr>
              <w:spacing w:after="0" w:line="244"/>
            </w:pPr>
            <w:r>
              <w:rPr>
                <w:rFonts w:ascii="Calibri" w:cs="Calibri" w:eastAsia="Calibri" w:hAnsi="Calibri"/>
                <w:b w:val="false"/>
                <w:bCs w:val="false"/>
                <w:color w:val="1A1F2B"/>
                <w:sz w:val="20"/>
                <w:szCs w:val="20"/>
              </w:rPr>
              <w:t xml:space="preserve">Üretilen metnin referans metinle anlamsal/örtüşme benzerliği. Yüksek olması iyidir; özellikle alt metin ve sadeleştirmede kullanılır.</w:t>
            </w:r>
          </w:p>
        </w:tc>
      </w:tr>
      <w:tr>
        <w:tc>
          <w:tcPr>
            <w:tcW w:type="dxa" w:w="2600"/>
            <w:tcMar>
              <w:top w:type="dxa" w:w="50"/>
              <w:left w:type="dxa" w:w="90"/>
              <w:bottom w:type="dxa" w:w="50"/>
              <w:right w:type="dxa" w:w="90"/>
            </w:tcMar>
          </w:tcPr>
          <w:p>
            <w:pPr>
              <w:spacing w:after="0" w:line="244"/>
            </w:pPr>
            <w:r>
              <w:rPr>
                <w:rFonts w:ascii="Calibri" w:cs="Calibri" w:eastAsia="Calibri" w:hAnsi="Calibri"/>
                <w:b/>
                <w:bCs/>
                <w:color w:val="1A1F2B"/>
                <w:sz w:val="20"/>
                <w:szCs w:val="20"/>
              </w:rPr>
              <w:t xml:space="preserve">Ateşman okunabilirlik</w:t>
            </w:r>
          </w:p>
        </w:tc>
        <w:tc>
          <w:tcPr>
            <w:tcW w:type="dxa" w:w="6420"/>
            <w:tcMar>
              <w:top w:type="dxa" w:w="50"/>
              <w:left w:type="dxa" w:w="90"/>
              <w:bottom w:type="dxa" w:w="50"/>
              <w:right w:type="dxa" w:w="90"/>
            </w:tcMar>
          </w:tcPr>
          <w:p>
            <w:pPr>
              <w:spacing w:after="0" w:line="244"/>
            </w:pPr>
            <w:r>
              <w:rPr>
                <w:rFonts w:ascii="Calibri" w:cs="Calibri" w:eastAsia="Calibri" w:hAnsi="Calibri"/>
                <w:b w:val="false"/>
                <w:bCs w:val="false"/>
                <w:color w:val="1A1F2B"/>
                <w:sz w:val="20"/>
                <w:szCs w:val="20"/>
              </w:rPr>
              <w:t xml:space="preserve">Türkçeye uyarlanmış okunabilirlik puanı; metnin ne kadar kolay okunduğunu gösterir. Sadeleştirmede artış beklenir.</w:t>
            </w:r>
          </w:p>
        </w:tc>
      </w:tr>
      <w:tr>
        <w:tc>
          <w:tcPr>
            <w:tcW w:type="dxa" w:w="2600"/>
            <w:tcMar>
              <w:top w:type="dxa" w:w="50"/>
              <w:left w:type="dxa" w:w="90"/>
              <w:bottom w:type="dxa" w:w="50"/>
              <w:right w:type="dxa" w:w="90"/>
            </w:tcMar>
          </w:tcPr>
          <w:p>
            <w:pPr>
              <w:spacing w:after="0" w:line="244"/>
            </w:pPr>
            <w:r>
              <w:rPr>
                <w:rFonts w:ascii="Calibri" w:cs="Calibri" w:eastAsia="Calibri" w:hAnsi="Calibri"/>
                <w:b/>
                <w:bCs/>
                <w:color w:val="1A1F2B"/>
                <w:sz w:val="20"/>
                <w:szCs w:val="20"/>
              </w:rPr>
              <w:t xml:space="preserve">WCAG kontrast oranı</w:t>
            </w:r>
          </w:p>
        </w:tc>
        <w:tc>
          <w:tcPr>
            <w:tcW w:type="dxa" w:w="6420"/>
            <w:tcMar>
              <w:top w:type="dxa" w:w="50"/>
              <w:left w:type="dxa" w:w="90"/>
              <w:bottom w:type="dxa" w:w="50"/>
              <w:right w:type="dxa" w:w="90"/>
            </w:tcMar>
          </w:tcPr>
          <w:p>
            <w:pPr>
              <w:spacing w:after="0" w:line="244"/>
            </w:pPr>
            <w:r>
              <w:rPr>
                <w:rFonts w:ascii="Calibri" w:cs="Calibri" w:eastAsia="Calibri" w:hAnsi="Calibri"/>
                <w:b w:val="false"/>
                <w:bCs w:val="false"/>
                <w:color w:val="1A1F2B"/>
                <w:sz w:val="20"/>
                <w:szCs w:val="20"/>
              </w:rPr>
              <w:t xml:space="preserve">Metin ile arka plan arasındaki parlaklık oranı. Erişilebilirlik için AA düzeyinde en az 4,5:1 olmalıdır.</w:t>
            </w:r>
          </w:p>
        </w:tc>
      </w:tr>
    </w:tbl>
    <w:p>
      <w:pPr>
        <w:spacing w:after="200"/>
        <w:jc w:val="center"/>
      </w:pPr>
      <w:r>
        <w:rPr>
          <w:rFonts w:ascii="Calibri" w:cs="Calibri" w:eastAsia="Calibri" w:hAnsi="Calibri"/>
          <w:i/>
          <w:iCs/>
          <w:color w:val="5B6472"/>
          <w:sz w:val="18"/>
          <w:szCs w:val="18"/>
        </w:rPr>
        <w:t xml:space="preserve">Tablo 3.2.3. Kullanılan performans metrikleri.</w:t>
      </w:r>
    </w:p>
    <w:p>
      <w:pPr>
        <w:pStyle w:val="Heading2"/>
        <w:spacing w:after="120" w:before="220"/>
      </w:pPr>
      <w:r>
        <w:rPr>
          <w:rFonts w:ascii="Calibri" w:cs="Calibri" w:eastAsia="Calibri" w:hAnsi="Calibri"/>
          <w:b/>
          <w:bCs/>
          <w:color w:val="2F5FE0"/>
          <w:sz w:val="25"/>
          <w:szCs w:val="25"/>
        </w:rPr>
        <w:t xml:space="preserve">3.2.5  Değerlendirme Araçları ve Sonuçların Kaydı</w:t>
      </w:r>
    </w:p>
    <w:p>
      <w:pPr>
        <w:spacing w:after="160" w:line="276"/>
        <w:jc w:val="both"/>
      </w:pPr>
      <w:r>
        <w:rPr>
          <w:rFonts w:ascii="Calibri" w:cs="Calibri" w:eastAsia="Calibri" w:hAnsi="Calibri"/>
          <w:color w:val="1A1F2B"/>
          <w:sz w:val="22"/>
          <w:szCs w:val="22"/>
        </w:rPr>
        <w:t xml:space="preserve">Ölçümleri Python ile yapıyoruz. Altyazı için kelime hata oranını jiwer kütüphanesiyle, metin benzerliğini (alt metin ve sadeleştirme) sacrebleu/evaluate ve bert-score ile, okunabilirliği ise Türkçeye uyarlanmış bir okunabilirlik hesabıyla ölçüyoruz. Kontrast oranı WCAG formülüyle hesaplanıyor. Her modülün her test örneği için elde edilen sonuçları (örnek adı, metrik, değer, başarılı mı) bir Excel/CSV tablosunda topluyoruz; böylece hem tek tek örnekleri inceleyebiliyor hem de modül bazında ortalama başarıyı ve başarı kriterini karşılayıp karşılamadığımızı görebiliyoruz.</w:t>
      </w:r>
    </w:p>
    <w:p>
      <w:pPr>
        <w:spacing w:after="160" w:line="276"/>
        <w:jc w:val="both"/>
      </w:pPr>
      <w:r>
        <w:rPr>
          <w:rFonts w:ascii="Calibri" w:cs="Calibri" w:eastAsia="Calibri" w:hAnsi="Calibri"/>
          <w:color w:val="1A1F2B"/>
          <w:sz w:val="22"/>
          <w:szCs w:val="22"/>
        </w:rPr>
        <w:t xml:space="preserve">Bu doğrulama planı sayesinde, hazır modelleri kullansak da her modülün başarısını nesnel ölçütlerle gösterebiliyor ve raporda “şu modül şu koşulda şu başarıyı sağladı” diyebileceğimiz somut kanıtlar üretiyoruz.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2026-08-20T13:33:42.022Z</dcterms:created>
  <dcterms:modified xsi:type="dcterms:W3CDTF">2026-08-20T13:33:42.048Z</dcterms:modified>
</cp:coreProperties>
</file>

<file path=docProps/custom.xml><?xml version="1.0" encoding="utf-8"?>
<Properties xmlns="http://schemas.openxmlformats.org/officeDocument/2006/custom-properties" xmlns:vt="http://schemas.openxmlformats.org/officeDocument/2006/docPropsVTypes"/>
</file>