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F2B"/>
          <w:sz w:val="34"/>
          <w:szCs w:val="34"/>
        </w:rPr>
        <w:t xml:space="preserve">Entegrasyon Dokümanı</w:t>
      </w:r>
    </w:p>
    <w:p>
      <w:pPr>
        <w:pBdr>
          <w:bottom w:val="single" w:color="2F5FE0" w:sz="6"/>
        </w:pBdr>
        <w:spacing w:after="240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Erişilebilir Destek (NSosyal) · Modüllerin backend'e entegrasyonu ve veri alışverişi</w:t>
      </w:r>
    </w:p>
    <w:p>
      <w:pPr>
        <w:pStyle w:val="Heading1"/>
        <w:spacing w:after="130" w:before="240"/>
      </w:pPr>
      <w:r>
        <w:rPr>
          <w:rFonts w:ascii="Calibri" w:cs="Calibri" w:eastAsia="Calibri" w:hAnsi="Calibri"/>
          <w:b/>
          <w:bCs/>
          <w:color w:val="2F5FE0"/>
          <w:sz w:val="28"/>
          <w:szCs w:val="28"/>
        </w:rPr>
        <w:t xml:space="preserve">1. Amaç ve Kapsam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color w:val="1A1F2B"/>
          <w:sz w:val="22"/>
          <w:szCs w:val="22"/>
        </w:rPr>
        <w:t xml:space="preserve">Bu doküman, projedeki dört yapay zeka modülünün (görsel açıklama, otomatik altyazı, metin sadeleştirme ve erişilebilirlik puanlama) ortak backend'e nasıl bağlanacağını ve modüller arasındaki veri alışverişini tanımlar. Her modülün API giriş/çıkışı somut JSON örnekleriyle verilmiş, entegrasyon sırası tek bir listede toplanmıştır. Amaç, özellikle alt metin, altyazı ve puanlama modüllerinin veri alışverişinde hiçbir belirsizlik bırakmamaktır.</w:t>
      </w:r>
    </w:p>
    <w:p>
      <w:pPr>
        <w:pStyle w:val="Heading1"/>
        <w:spacing w:after="130" w:before="240"/>
      </w:pPr>
      <w:r>
        <w:rPr>
          <w:rFonts w:ascii="Calibri" w:cs="Calibri" w:eastAsia="Calibri" w:hAnsi="Calibri"/>
          <w:b/>
          <w:bCs/>
          <w:color w:val="2F5FE0"/>
          <w:sz w:val="28"/>
          <w:szCs w:val="28"/>
        </w:rPr>
        <w:t xml:space="preserve">2. Entegrasyon Mimarisi ve Araçlar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color w:val="1A1F2B"/>
          <w:sz w:val="22"/>
          <w:szCs w:val="22"/>
        </w:rPr>
        <w:t xml:space="preserve">Backend'de Orkestrasyon Servisi, /api/v1/analyze uç noktasına gelen dosyayı alır ve türüne göre ilgili modüle yönlendirir. Her modül services/ klasöründeki bir fonksiyonla temsil edilir; modül sahibi kendi kodunu yalnızca bu fonksiyonun içine bağlar. API'nin resmi tanımı, FastAPI'nin otomatik ürettiği OpenAPI/Swagger dokümanında (/docs) canlı olarak bulunur; testler Postman veya Swagger arayüzünden yapılır; akış şeması ise draw.io ile çizilebilir.</w:t>
      </w:r>
    </w:p>
    <w:p>
      <w:pPr>
        <w:pStyle w:val="Heading1"/>
        <w:spacing w:after="130" w:before="240"/>
      </w:pPr>
      <w:r>
        <w:rPr>
          <w:rFonts w:ascii="Calibri" w:cs="Calibri" w:eastAsia="Calibri" w:hAnsi="Calibri"/>
          <w:b/>
          <w:bCs/>
          <w:color w:val="2F5FE0"/>
          <w:sz w:val="28"/>
          <w:szCs w:val="28"/>
        </w:rPr>
        <w:t xml:space="preserve">3. Genel İstek ve Yanıt Biçimi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color w:val="1A1F2B"/>
          <w:sz w:val="22"/>
          <w:szCs w:val="22"/>
        </w:rPr>
        <w:t xml:space="preserve">Bütün modüller aynı uç noktayı kullanır. İstek, dosyayı form-data olarak taşır; yanıt ise standart bir JSON iskeletidir. Modüle özel alanlar bu iskeletin içindeki sonuc nesnesinde döner.</w:t>
      </w:r>
    </w:p>
    <w:p>
      <w:pPr>
        <w:spacing w:after="90" w:before="150"/>
      </w:pPr>
      <w:r>
        <w:rPr>
          <w:rFonts w:ascii="Calibri" w:cs="Calibri" w:eastAsia="Calibri" w:hAnsi="Calibri"/>
          <w:b/>
          <w:bCs/>
          <w:color w:val="1A1F2B"/>
          <w:sz w:val="23"/>
          <w:szCs w:val="23"/>
        </w:rPr>
        <w:t xml:space="preserve">İstek (tüm modüller için ortak)</w:t>
      </w:r>
    </w:p>
    <w:tbl>
      <w:tblPr>
        <w:tblW w:type="dxa" w:w="9020"/>
        <w:tblBorders>
          <w:top w:val="single" w:color="D9DEE6" w:sz="4"/>
          <w:left w:val="single" w:color="D9DEE6" w:sz="4"/>
          <w:bottom w:val="single" w:color="D9DEE6" w:sz="4"/>
          <w:right w:val="single" w:color="D9DEE6" w:sz="4"/>
          <w:insideH w:val="single" w:color="D9DEE6" w:sz="4"/>
          <w:insideV w:val="single" w:color="D9DEE6" w:sz="4"/>
        </w:tblBorders>
      </w:tblPr>
      <w:tblGrid>
        <w:gridCol w:w="9020"/>
      </w:tblGrid>
      <w:tr>
        <w:tc>
          <w:tcPr>
            <w:tcW w:type="dxa" w:w="9020"/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t xml:space="preserve">POST /api/v1/analyze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Content-Type: multipart/form-data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/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dosya = &lt;yüklenen dosya&gt;   # görsel, video veya .txt</w:t>
            </w:r>
          </w:p>
        </w:tc>
      </w:tr>
    </w:tbl>
    <w:p>
      <w:pPr>
        <w:spacing w:after="120"/>
      </w:pPr>
    </w:p>
    <w:p>
      <w:pPr>
        <w:spacing w:after="90" w:before="150"/>
      </w:pPr>
      <w:r>
        <w:rPr>
          <w:rFonts w:ascii="Calibri" w:cs="Calibri" w:eastAsia="Calibri" w:hAnsi="Calibri"/>
          <w:b/>
          <w:bCs/>
          <w:color w:val="1A1F2B"/>
          <w:sz w:val="23"/>
          <w:szCs w:val="23"/>
        </w:rPr>
        <w:t xml:space="preserve">Yanıt iskeleti</w:t>
      </w:r>
    </w:p>
    <w:tbl>
      <w:tblPr>
        <w:tblW w:type="dxa" w:w="9020"/>
        <w:tblBorders>
          <w:top w:val="single" w:color="D9DEE6" w:sz="4"/>
          <w:left w:val="single" w:color="D9DEE6" w:sz="4"/>
          <w:bottom w:val="single" w:color="D9DEE6" w:sz="4"/>
          <w:right w:val="single" w:color="D9DEE6" w:sz="4"/>
          <w:insideH w:val="single" w:color="D9DEE6" w:sz="4"/>
          <w:insideV w:val="single" w:color="D9DEE6" w:sz="4"/>
        </w:tblBorders>
      </w:tblPr>
      <w:tblGrid>
        <w:gridCol w:w="9020"/>
      </w:tblGrid>
      <w:tr>
        <w:tc>
          <w:tcPr>
            <w:tcW w:type="dxa" w:w="9020"/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t xml:space="preserve">{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"durum": "basarili",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"content_id": 12,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"islem_turu": "gorsel | video | metin",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"modul": "&lt;calisan modul adi&gt;",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"sonuc": { ... modüle özel alanlar ... }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pStyle w:val="Heading1"/>
        <w:spacing w:after="130" w:before="240"/>
      </w:pPr>
      <w:r>
        <w:rPr>
          <w:rFonts w:ascii="Calibri" w:cs="Calibri" w:eastAsia="Calibri" w:hAnsi="Calibri"/>
          <w:b/>
          <w:bCs/>
          <w:color w:val="2F5FE0"/>
          <w:sz w:val="28"/>
          <w:szCs w:val="28"/>
        </w:rPr>
        <w:t xml:space="preserve">4. Modül Bazında Giriş/Çıkış (JSON Örnekleri)</w:t>
      </w:r>
    </w:p>
    <w:p>
      <w:pPr>
        <w:spacing w:after="90" w:before="150"/>
      </w:pPr>
      <w:r>
        <w:rPr>
          <w:rFonts w:ascii="Calibri" w:cs="Calibri" w:eastAsia="Calibri" w:hAnsi="Calibri"/>
          <w:b/>
          <w:bCs/>
          <w:color w:val="1A1F2B"/>
          <w:sz w:val="23"/>
          <w:szCs w:val="23"/>
        </w:rPr>
        <w:t xml:space="preserve">4.1 Görsel Açıklama (alt metin)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color w:val="1A1F2B"/>
          <w:sz w:val="22"/>
          <w:szCs w:val="22"/>
        </w:rPr>
        <w:t xml:space="preserve">Girdi bir görsel; çıktı, sonuc.otomatik_alt_text alanında Türkçe alternatif metindir.</w:t>
      </w:r>
    </w:p>
    <w:tbl>
      <w:tblPr>
        <w:tblW w:type="dxa" w:w="9020"/>
        <w:tblBorders>
          <w:top w:val="single" w:color="D9DEE6" w:sz="4"/>
          <w:left w:val="single" w:color="D9DEE6" w:sz="4"/>
          <w:bottom w:val="single" w:color="D9DEE6" w:sz="4"/>
          <w:right w:val="single" w:color="D9DEE6" w:sz="4"/>
          <w:insideH w:val="single" w:color="D9DEE6" w:sz="4"/>
          <w:insideV w:val="single" w:color="D9DEE6" w:sz="4"/>
        </w:tblBorders>
      </w:tblPr>
      <w:tblGrid>
        <w:gridCol w:w="9020"/>
      </w:tblGrid>
      <w:tr>
        <w:tc>
          <w:tcPr>
            <w:tcW w:type="dxa" w:w="9020"/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t xml:space="preserve">// İstek:  dosya = manzara.png  (image/png)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// Yanıt: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{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"islem_turu": "gorsel",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"modul": "gorsel_aciklama",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"sonuc": {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  "otomatik_alt_text": "Ahşap bir masada açık bir dizüstü bilgisayar ve yanında kahve fincanı var.",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  "renk_kontrast_skoru": 4.5,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  "okunabilirlik_skoru": 82.0,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  "genel_erisilebilirlik_puani": 78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}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90" w:before="150"/>
      </w:pPr>
      <w:r>
        <w:rPr>
          <w:rFonts w:ascii="Calibri" w:cs="Calibri" w:eastAsia="Calibri" w:hAnsi="Calibri"/>
          <w:b/>
          <w:bCs/>
          <w:color w:val="1A1F2B"/>
          <w:sz w:val="23"/>
          <w:szCs w:val="23"/>
        </w:rPr>
        <w:t xml:space="preserve">4.2 Otomatik Altyazı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color w:val="1A1F2B"/>
          <w:sz w:val="22"/>
          <w:szCs w:val="22"/>
        </w:rPr>
        <w:t xml:space="preserve">Girdi bir video; çıktı, sonuc.otomatik_altyazi_yolu alanında üretilen WebVTT altyazı dosyasının yoludur.</w:t>
      </w:r>
    </w:p>
    <w:tbl>
      <w:tblPr>
        <w:tblW w:type="dxa" w:w="9020"/>
        <w:tblBorders>
          <w:top w:val="single" w:color="D9DEE6" w:sz="4"/>
          <w:left w:val="single" w:color="D9DEE6" w:sz="4"/>
          <w:bottom w:val="single" w:color="D9DEE6" w:sz="4"/>
          <w:right w:val="single" w:color="D9DEE6" w:sz="4"/>
          <w:insideH w:val="single" w:color="D9DEE6" w:sz="4"/>
          <w:insideV w:val="single" w:color="D9DEE6" w:sz="4"/>
        </w:tblBorders>
      </w:tblPr>
      <w:tblGrid>
        <w:gridCol w:w="9020"/>
      </w:tblGrid>
      <w:tr>
        <w:tc>
          <w:tcPr>
            <w:tcW w:type="dxa" w:w="9020"/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t xml:space="preserve">// İstek:  dosya = tanitim.mp4  (video/mp4)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// Yanıt: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{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"islem_turu": "video",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"modul": "otomatik_altyazi",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"sonuc": {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  "otomatik_altyazi_yolu": "uploads/tanitim.vtt",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  "genel_erisilebilirlik_puani": 70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}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90" w:before="150"/>
      </w:pPr>
      <w:r>
        <w:rPr>
          <w:rFonts w:ascii="Calibri" w:cs="Calibri" w:eastAsia="Calibri" w:hAnsi="Calibri"/>
          <w:b/>
          <w:bCs/>
          <w:color w:val="1A1F2B"/>
          <w:sz w:val="23"/>
          <w:szCs w:val="23"/>
        </w:rPr>
        <w:t xml:space="preserve">4.3 Sadeleştirme (metin)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color w:val="1A1F2B"/>
          <w:sz w:val="22"/>
          <w:szCs w:val="22"/>
        </w:rPr>
        <w:t xml:space="preserve">Girdi düz metin; çıktı sade Türkçe metindir.</w:t>
      </w:r>
    </w:p>
    <w:tbl>
      <w:tblPr>
        <w:tblW w:type="dxa" w:w="9020"/>
        <w:tblBorders>
          <w:top w:val="single" w:color="D9DEE6" w:sz="4"/>
          <w:left w:val="single" w:color="D9DEE6" w:sz="4"/>
          <w:bottom w:val="single" w:color="D9DEE6" w:sz="4"/>
          <w:right w:val="single" w:color="D9DEE6" w:sz="4"/>
          <w:insideH w:val="single" w:color="D9DEE6" w:sz="4"/>
          <w:insideV w:val="single" w:color="D9DEE6" w:sz="4"/>
        </w:tblBorders>
      </w:tblPr>
      <w:tblGrid>
        <w:gridCol w:w="9020"/>
      </w:tblGrid>
      <w:tr>
        <w:tc>
          <w:tcPr>
            <w:tcW w:type="dxa" w:w="9020"/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t xml:space="preserve">// İstek:  dosya = gonderi.txt  (text/plain)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// Yanıt: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{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"islem_turu": "metin",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"modul": "sadelestirme",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"sonuc": {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  "otomatik_alt_text": "Sade hâli: Bu gönderi kısa ve anlaşılır biçimde yeniden yazıldı.",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  "okunabilirlik_skoru": 88.0,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  "genel_erisilebilirlik_puani": 65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}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spacing w:after="90" w:before="150"/>
      </w:pPr>
      <w:r>
        <w:rPr>
          <w:rFonts w:ascii="Calibri" w:cs="Calibri" w:eastAsia="Calibri" w:hAnsi="Calibri"/>
          <w:b/>
          <w:bCs/>
          <w:color w:val="1A1F2B"/>
          <w:sz w:val="23"/>
          <w:szCs w:val="23"/>
        </w:rPr>
        <w:t xml:space="preserve">4.4 Erişilebilirlik Puanlama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color w:val="1A1F2B"/>
          <w:sz w:val="22"/>
          <w:szCs w:val="22"/>
        </w:rPr>
        <w:t xml:space="preserve">Puanlama ayrı bir istek değildir; her yanıtın sonuc nesnesine eklenir. Kontrast oranı, okunabilirlik puanı ve 0–100 arası genel erişilebilirlik puanı bu modül tarafından hesaplanır.</w:t>
      </w:r>
    </w:p>
    <w:tbl>
      <w:tblPr>
        <w:tblW w:type="dxa" w:w="9020"/>
        <w:tblBorders>
          <w:top w:val="single" w:color="D9DEE6" w:sz="4"/>
          <w:left w:val="single" w:color="D9DEE6" w:sz="4"/>
          <w:bottom w:val="single" w:color="D9DEE6" w:sz="4"/>
          <w:right w:val="single" w:color="D9DEE6" w:sz="4"/>
          <w:insideH w:val="single" w:color="D9DEE6" w:sz="4"/>
          <w:insideV w:val="single" w:color="D9DEE6" w:sz="4"/>
        </w:tblBorders>
      </w:tblPr>
      <w:tblGrid>
        <w:gridCol w:w="9020"/>
      </w:tblGrid>
      <w:tr>
        <w:tc>
          <w:tcPr>
            <w:tcW w:type="dxa" w:w="9020"/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t xml:space="preserve">// sonuc içine eklenen puanlama alanları: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{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"renk_kontrast_skoru": 4.5,      // WCAG oranı (AA için ≥ 4.5)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"okunabilirlik_skoru": 82.0,     // 0–100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  "genel_erisilebilirlik_puani": 78 // 0–100</w:t>
            </w:r>
            <w:r>
              <w:rPr>
                <w:rFonts w:ascii="Consolas" w:cs="Consolas" w:eastAsia="Consolas" w:hAnsi="Consolas"/>
                <w:color w:val="20364F"/>
                <w:sz w:val="17"/>
                <w:szCs w:val="17"/>
              </w:rPr>
              <w:br/>
              <w:t xml:space="preserve">}</w:t>
            </w:r>
          </w:p>
        </w:tc>
      </w:tr>
    </w:tbl>
    <w:p>
      <w:pPr>
        <w:pStyle w:val="Heading1"/>
        <w:spacing w:after="130" w:before="240"/>
      </w:pPr>
      <w:r>
        <w:rPr>
          <w:rFonts w:ascii="Calibri" w:cs="Calibri" w:eastAsia="Calibri" w:hAnsi="Calibri"/>
          <w:b/>
          <w:bCs/>
          <w:color w:val="2F5FE0"/>
          <w:sz w:val="28"/>
          <w:szCs w:val="28"/>
        </w:rPr>
        <w:t xml:space="preserve">5. İç Bağlantı Sözleşmeleri (services/ fonksiyonları)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color w:val="1A1F2B"/>
          <w:sz w:val="22"/>
          <w:szCs w:val="22"/>
        </w:rPr>
        <w:t xml:space="preserve">Yukarıdaki JSON alanları, backend'de aşağıdaki fonksiyonlarla üretilir. Modül sahibi kodunu bu fonksiyona bağlar ve belirtilen tipte değer döndürür; fonksiyon imzası (girdi/çıktı) sabittir.</w:t>
      </w:r>
    </w:p>
    <w:tbl>
      <w:tblPr>
        <w:tblW w:type="dxa" w:w="9020"/>
        <w:tblBorders>
          <w:top w:val="single" w:color="C7D3F7" w:sz="4"/>
          <w:left w:val="single" w:color="C7D3F7" w:sz="4"/>
          <w:bottom w:val="single" w:color="C7D3F7" w:sz="4"/>
          <w:right w:val="single" w:color="C7D3F7" w:sz="4"/>
          <w:insideH w:val="single" w:color="C7D3F7" w:sz="4"/>
          <w:insideV w:val="single" w:color="C7D3F7" w:sz="4"/>
        </w:tblBorders>
      </w:tblPr>
      <w:tblGrid>
        <w:gridCol w:w="1500"/>
        <w:gridCol w:w="1200"/>
        <w:gridCol w:w="2600"/>
        <w:gridCol w:w="2450"/>
        <w:gridCol w:w="1270"/>
      </w:tblGrid>
      <w:tr>
        <w:trPr>
          <w:tblHeader/>
        </w:trPr>
        <w:tc>
          <w:tcPr>
            <w:tcW w:type="dxa" w:w="1500"/>
            <w:shd w:fill="EEF2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8"/>
                <w:szCs w:val="18"/>
              </w:rPr>
              <w:t xml:space="preserve">Modül</w:t>
            </w:r>
          </w:p>
        </w:tc>
        <w:tc>
          <w:tcPr>
            <w:tcW w:type="dxa" w:w="1200"/>
            <w:shd w:fill="EEF2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8"/>
                <w:szCs w:val="18"/>
              </w:rPr>
              <w:t xml:space="preserve">Sorumlu</w:t>
            </w:r>
          </w:p>
        </w:tc>
        <w:tc>
          <w:tcPr>
            <w:tcW w:type="dxa" w:w="2600"/>
            <w:shd w:fill="EEF2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8"/>
                <w:szCs w:val="18"/>
              </w:rPr>
              <w:t xml:space="preserve">Bağlanacağı fonksiyon (dosya)</w:t>
            </w:r>
          </w:p>
        </w:tc>
        <w:tc>
          <w:tcPr>
            <w:tcW w:type="dxa" w:w="2450"/>
            <w:shd w:fill="EEF2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8"/>
                <w:szCs w:val="18"/>
              </w:rPr>
              <w:t xml:space="preserve">Girdi → Beklenen çıktı</w:t>
            </w:r>
          </w:p>
        </w:tc>
        <w:tc>
          <w:tcPr>
            <w:tcW w:type="dxa" w:w="1270"/>
            <w:shd w:fill="EEF2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8"/>
                <w:szCs w:val="18"/>
              </w:rPr>
              <w:t xml:space="preserve">Sonuç anahtarı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Görsel Açıklama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Merve (M-04)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alt_text_service.py</w:t>
            </w:r>
            <w:r>
              <w:rPr>
                <w:rFonts w:ascii="Consolas" w:cs="Consolas" w:eastAsia="Consolas" w:hAnsi="Consolas"/>
                <w:color w:val="0B5D3B"/>
                <w:sz w:val="18"/>
                <w:szCs w:val="18"/>
              </w:rPr>
              <w:br/>
              <w:t xml:space="preserve">gorsel_aciklama_uret(icerik, mime)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Görsel baytları + MIME → Türkçe alt metin (str)</w:t>
            </w:r>
          </w:p>
        </w:tc>
        <w:tc>
          <w:tcPr>
            <w:tcW w:type="dxa" w:w="1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5D3B"/>
                <w:sz w:val="18"/>
                <w:szCs w:val="18"/>
              </w:rPr>
              <w:t xml:space="preserve">alt_metin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Otomatik Altyazı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Sevda (S-08)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subtitle_service.py</w:t>
            </w:r>
            <w:r>
              <w:rPr>
                <w:rFonts w:ascii="Consolas" w:cs="Consolas" w:eastAsia="Consolas" w:hAnsi="Consolas"/>
                <w:color w:val="0B5D3B"/>
                <w:sz w:val="18"/>
                <w:szCs w:val="18"/>
              </w:rPr>
              <w:br/>
              <w:t xml:space="preserve">altyazi_uret(icerik, dosya_adi)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Video baytları → WebVTT dosya yolu (str)</w:t>
            </w:r>
          </w:p>
        </w:tc>
        <w:tc>
          <w:tcPr>
            <w:tcW w:type="dxa" w:w="1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5D3B"/>
                <w:sz w:val="18"/>
                <w:szCs w:val="18"/>
              </w:rPr>
              <w:t xml:space="preserve">altyazi_yolu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Sadeleştirme (NLP)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Ekip/NLP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simplification_service.py</w:t>
            </w:r>
            <w:r>
              <w:rPr>
                <w:rFonts w:ascii="Consolas" w:cs="Consolas" w:eastAsia="Consolas" w:hAnsi="Consolas"/>
                <w:color w:val="0B5D3B"/>
                <w:sz w:val="18"/>
                <w:szCs w:val="18"/>
              </w:rPr>
              <w:br/>
              <w:t xml:space="preserve">sadelestir(metin)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Düz metin (str) → sade Türkçe metin (str)</w:t>
            </w:r>
          </w:p>
        </w:tc>
        <w:tc>
          <w:tcPr>
            <w:tcW w:type="dxa" w:w="1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5D3B"/>
                <w:sz w:val="18"/>
                <w:szCs w:val="18"/>
              </w:rPr>
              <w:t xml:space="preserve">sade_metin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Erişilebilirlik Puanlama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Beril (B-04)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6472"/>
                <w:sz w:val="18"/>
                <w:szCs w:val="18"/>
              </w:rPr>
              <w:t xml:space="preserve">readability_service.py</w:t>
            </w:r>
            <w:r>
              <w:rPr>
                <w:rFonts w:ascii="Consolas" w:cs="Consolas" w:eastAsia="Consolas" w:hAnsi="Consolas"/>
                <w:color w:val="0B5D3B"/>
                <w:sz w:val="18"/>
                <w:szCs w:val="18"/>
              </w:rPr>
              <w:br/>
              <w:t xml:space="preserve">(kontrast, okunabilirlik, genel puan)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Metin/görsel → kontrast, okunabilirlik, 0–100 puan</w:t>
            </w:r>
          </w:p>
        </w:tc>
        <w:tc>
          <w:tcPr>
            <w:tcW w:type="dxa" w:w="1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5D3B"/>
                <w:sz w:val="18"/>
                <w:szCs w:val="18"/>
              </w:rPr>
              <w:t xml:space="preserve">skorlar</w:t>
            </w:r>
          </w:p>
        </w:tc>
      </w:tr>
    </w:tbl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Tablo 1. Modül bağlantı sözleşmeleri (fonksiyon, girdi/çıktı, sonuç anahtarı).</w:t>
      </w:r>
    </w:p>
    <w:p>
      <w:pPr>
        <w:pStyle w:val="Heading1"/>
        <w:spacing w:after="130" w:before="240"/>
      </w:pPr>
      <w:r>
        <w:rPr>
          <w:rFonts w:ascii="Calibri" w:cs="Calibri" w:eastAsia="Calibri" w:hAnsi="Calibri"/>
          <w:b/>
          <w:bCs/>
          <w:color w:val="2F5FE0"/>
          <w:sz w:val="28"/>
          <w:szCs w:val="28"/>
        </w:rPr>
        <w:t xml:space="preserve">6. Entegrasyon Sırası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color w:val="1A1F2B"/>
          <w:sz w:val="22"/>
          <w:szCs w:val="22"/>
        </w:rPr>
        <w:t xml:space="preserve">Modüller aşağıdaki sırayla sisteme bağlanır. Sıra, modüllerin hazır olma durumuna göre belirlenmiştir; her adımdan sonra sistem uçtan uca test edilebilir durumdadır.</w:t>
      </w:r>
    </w:p>
    <w:tbl>
      <w:tblPr>
        <w:tblW w:type="dxa" w:w="9020"/>
        <w:tblBorders>
          <w:top w:val="single" w:color="C7D3F7" w:sz="4"/>
          <w:left w:val="single" w:color="C7D3F7" w:sz="4"/>
          <w:bottom w:val="single" w:color="C7D3F7" w:sz="4"/>
          <w:right w:val="single" w:color="C7D3F7" w:sz="4"/>
          <w:insideH w:val="single" w:color="C7D3F7" w:sz="4"/>
          <w:insideV w:val="single" w:color="C7D3F7" w:sz="4"/>
        </w:tblBorders>
      </w:tblPr>
      <w:tblGrid>
        <w:gridCol w:w="900"/>
        <w:gridCol w:w="3400"/>
        <w:gridCol w:w="4720"/>
      </w:tblGrid>
      <w:tr>
        <w:trPr>
          <w:tblHeader/>
        </w:trPr>
        <w:tc>
          <w:tcPr>
            <w:tcW w:type="dxa" w:w="900"/>
            <w:shd w:fill="EEF2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8"/>
                <w:szCs w:val="18"/>
              </w:rPr>
              <w:t xml:space="preserve">Sıra</w:t>
            </w:r>
          </w:p>
        </w:tc>
        <w:tc>
          <w:tcPr>
            <w:tcW w:type="dxa" w:w="3400"/>
            <w:shd w:fill="EEF2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8"/>
                <w:szCs w:val="18"/>
              </w:rPr>
              <w:t xml:space="preserve">Adım</w:t>
            </w:r>
          </w:p>
        </w:tc>
        <w:tc>
          <w:tcPr>
            <w:tcW w:type="dxa" w:w="4720"/>
            <w:shd w:fill="EEF2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Backend iskeleti + ortak sözleşme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Z-04 ile hazır. /api/v1/analyze ve services/ fonksiyonları mock çıktı veriyor; sistem uçtan uca çalışıyor.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Görsel açıklama bağlanır (M-04)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Merve'nin modeli alt_text_service.py'ye takılır. Hazır olduğu için ilk bu entegre edilir.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Altyazı bağlanır (S-08)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Sevda'nın Whisper hattı subtitle_service.py'ye takılır; WebVTT yolu döndürülür.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Puanlama bağlanır (B-04)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Beril'in 100 puanlık matrisi readability_service.py'ye takılır; kontrast/okunabilirlik/genel puan gerçek değere döner.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Sadeleştirme bağlanır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NLP modeli simplification_service.py'ye takılır.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Uçtan uca test + doğrulama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/api/v1/analyze Postman/Swagger ile test edilir; 3.2'deki metriklerle başarı ölçülür.</w:t>
            </w:r>
          </w:p>
        </w:tc>
      </w:tr>
    </w:tbl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Tablo 2. Entegrasyon sırası.</w:t>
      </w:r>
    </w:p>
    <w:p>
      <w:pPr>
        <w:pStyle w:val="Heading1"/>
        <w:spacing w:after="130" w:before="240"/>
      </w:pPr>
      <w:r>
        <w:rPr>
          <w:rFonts w:ascii="Calibri" w:cs="Calibri" w:eastAsia="Calibri" w:hAnsi="Calibri"/>
          <w:b/>
          <w:bCs/>
          <w:color w:val="2F5FE0"/>
          <w:sz w:val="28"/>
          <w:szCs w:val="28"/>
        </w:rPr>
        <w:t xml:space="preserve">7. Bağımlılık Durumu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color w:val="1A1F2B"/>
          <w:sz w:val="22"/>
          <w:szCs w:val="22"/>
        </w:rPr>
        <w:t xml:space="preserve">Modüllerin entegrasyona hazır olup olmadığı aşağıda özetlenmiştir. Görsel açıklama (M-04) hazır olduğundan ilk bağlanacak modüldür; diğerleri hazır oldukça aynı sözleşmeye göre eklenir. O zamana kadar backend mock çıktı ürettiği için entegrasyon beklenmeden sistem bütün olarak test edilebilir.</w:t>
      </w:r>
    </w:p>
    <w:tbl>
      <w:tblPr>
        <w:tblW w:type="dxa" w:w="9020"/>
        <w:tblBorders>
          <w:top w:val="single" w:color="C7D3F7" w:sz="4"/>
          <w:left w:val="single" w:color="C7D3F7" w:sz="4"/>
          <w:bottom w:val="single" w:color="C7D3F7" w:sz="4"/>
          <w:right w:val="single" w:color="C7D3F7" w:sz="4"/>
          <w:insideH w:val="single" w:color="C7D3F7" w:sz="4"/>
          <w:insideV w:val="single" w:color="C7D3F7" w:sz="4"/>
        </w:tblBorders>
      </w:tblPr>
      <w:tblGrid>
        <w:gridCol w:w="3000"/>
        <w:gridCol w:w="2400"/>
        <w:gridCol w:w="3620"/>
      </w:tblGrid>
      <w:tr>
        <w:trPr>
          <w:tblHeader/>
        </w:trPr>
        <w:tc>
          <w:tcPr>
            <w:tcW w:type="dxa" w:w="3000"/>
            <w:shd w:fill="EEF2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8"/>
                <w:szCs w:val="18"/>
              </w:rPr>
              <w:t xml:space="preserve">Modül</w:t>
            </w:r>
          </w:p>
        </w:tc>
        <w:tc>
          <w:tcPr>
            <w:tcW w:type="dxa" w:w="2400"/>
            <w:shd w:fill="EEF2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8"/>
                <w:szCs w:val="18"/>
              </w:rPr>
              <w:t xml:space="preserve">Durum</w:t>
            </w:r>
          </w:p>
        </w:tc>
        <w:tc>
          <w:tcPr>
            <w:tcW w:type="dxa" w:w="3620"/>
            <w:shd w:fill="EEF2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Görsel Açıklama (M-04)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Bağlanmaya hazır</w:t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PoC tamamlandı; kod repoya alınıp fonksiyona bağlanabilir.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Otomatik Altyazı (S-08)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Bekleniyor</w:t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Whisper hattı hazır olunca bağlanacak; şimdilik mock çalışıyor.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Erişilebilirlik Puanlama (B-04)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Bekleniyor</w:t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100 puanlık matris hazır olunca bağlanacak; şimdilik örnek puan.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F2B"/>
                <w:sz w:val="19"/>
                <w:szCs w:val="19"/>
              </w:rPr>
              <w:t xml:space="preserve">Sadeleştirme (NLP)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Bekleniyor</w:t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9"/>
                <w:szCs w:val="19"/>
              </w:rPr>
              <w:t xml:space="preserve">Model seçilince bağlanacak; şimdilik örnek çıktı.</w:t>
            </w:r>
          </w:p>
        </w:tc>
      </w:tr>
    </w:tbl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Tablo 3. Modüllerin entegrasyon durumu.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2026-08-21T11:16:58.547Z</dcterms:created>
  <dcterms:modified xsi:type="dcterms:W3CDTF">2026-08-21T11:16:58.547Z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