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F2B"/>
          <w:sz w:val="34"/>
          <w:szCs w:val="34"/>
        </w:rPr>
        <w:t xml:space="preserve">Teknik Kontrol Notu</w:t>
      </w:r>
    </w:p>
    <w:p>
      <w:pPr>
        <w:pBdr>
          <w:bottom w:val="single" w:color="2F5FE0" w:sz="6"/>
        </w:pBdr>
        <w:spacing w:after="240"/>
      </w:pPr>
      <w:r>
        <w:rPr>
          <w:rFonts w:ascii="Calibri" w:cs="Calibri" w:eastAsia="Calibri" w:hAnsi="Calibri"/>
          <w:i/>
          <w:iCs/>
          <w:color w:val="5B6472"/>
          <w:sz w:val="22"/>
          <w:szCs w:val="22"/>
        </w:rPr>
        <w:t xml:space="preserve">Erişilebilir Destek (NSosyal) · Rapor–repo teknoloji tutarlılık kontrolü (Z-07)</w:t>
      </w:r>
    </w:p>
    <w:p>
      <w:pPr>
        <w:pStyle w:val="Heading1"/>
        <w:spacing w:after="120" w:before="230"/>
      </w:pPr>
      <w:r>
        <w:rPr>
          <w:rFonts w:ascii="Calibri" w:cs="Calibri" w:eastAsia="Calibri" w:hAnsi="Calibri"/>
          <w:b/>
          <w:bCs/>
          <w:color w:val="2F5FE0"/>
          <w:sz w:val="27"/>
          <w:szCs w:val="27"/>
        </w:rPr>
        <w:t xml:space="preserve">1. Amaç</w:t>
      </w:r>
    </w:p>
    <w:p>
      <w:pPr>
        <w:spacing w:after="150" w:line="276"/>
        <w:jc w:val="both"/>
      </w:pPr>
      <w:r>
        <w:rPr>
          <w:rFonts w:ascii="Calibri" w:cs="Calibri" w:eastAsia="Calibri" w:hAnsi="Calibri"/>
          <w:color w:val="1A1F2B"/>
          <w:sz w:val="22"/>
          <w:szCs w:val="22"/>
        </w:rPr>
        <w:t xml:space="preserve">Bu not, teknik rapordaki (3.1 ve 3.2 bölümleri) teknoloji ve model adlarının, GitHub deposundaki gerçek kodla birebir uyuşup uyuşmadığını kontrol eder. Amaç, çalışmayan bağlantıları ve rapor ile kod arasındaki çelişen model adlarını tespit edip düzeltmektir.</w:t>
      </w:r>
    </w:p>
    <w:p>
      <w:pPr>
        <w:pStyle w:val="Heading1"/>
        <w:spacing w:after="120" w:before="230"/>
      </w:pPr>
      <w:r>
        <w:rPr>
          <w:rFonts w:ascii="Calibri" w:cs="Calibri" w:eastAsia="Calibri" w:hAnsi="Calibri"/>
          <w:b/>
          <w:bCs/>
          <w:color w:val="2F5FE0"/>
          <w:sz w:val="27"/>
          <w:szCs w:val="27"/>
        </w:rPr>
        <w:t xml:space="preserve">2. Repo Bağlantısı Kontrolü</w:t>
      </w:r>
    </w:p>
    <w:p>
      <w:pPr>
        <w:spacing w:after="150" w:line="276"/>
        <w:jc w:val="both"/>
      </w:pPr>
      <w:r>
        <w:rPr>
          <w:rFonts w:ascii="Calibri" w:cs="Calibri" w:eastAsia="Calibri" w:hAnsi="Calibri"/>
          <w:color w:val="1A1F2B"/>
          <w:sz w:val="22"/>
          <w:szCs w:val="22"/>
        </w:rPr>
        <w:t xml:space="preserve">Depo adresi: </w:t>
      </w:r>
      <w:hyperlink w:history="1" r:id="rId-pywipkmtdk-tkcrzeese">
        <w:r>
          <w:rPr>
            <w:rFonts w:ascii="Calibri" w:cs="Calibri" w:eastAsia="Calibri" w:hAnsi="Calibri"/>
            <w:color w:val="2F5FE0"/>
            <w:sz w:val="22"/>
            <w:szCs w:val="22"/>
            <w:u w:val="single"/>
          </w:rPr>
          <w:t xml:space="preserve">https://github.com/erisilebilir-destek/erisilebilir-destek</w:t>
        </w:r>
      </w:hyperlink>
      <w:r>
        <w:rPr>
          <w:rFonts w:ascii="Calibri" w:cs="Calibri" w:eastAsia="Calibri" w:hAnsi="Calibri"/>
          <w:color w:val="1A1F2B"/>
          <w:sz w:val="22"/>
          <w:szCs w:val="22"/>
        </w:rPr>
        <w:t xml:space="preserve">. Depo PRIVATE olduğundan link yalnızca davetli ekip üyeleri için açılır; davetsiz biri (ör. dışarıdan değerlendirici) tıklarsa 404 görür. Kontrol: (1) link doğru mu, (2) rapora değerlendirecek kişiler collaborator olarak eklenmiş mi ya da teslimde repo geçici public yapılacak mı — bunlar netleştirilmeli. Raporun 3.1 bölümündeki repo linkinin bu adresle aynı olduğundan emin olun.</w:t>
      </w:r>
    </w:p>
    <w:p>
      <w:pPr>
        <w:pStyle w:val="Heading1"/>
        <w:spacing w:after="120" w:before="230"/>
      </w:pPr>
      <w:r>
        <w:rPr>
          <w:rFonts w:ascii="Calibri" w:cs="Calibri" w:eastAsia="Calibri" w:hAnsi="Calibri"/>
          <w:b/>
          <w:bCs/>
          <w:color w:val="2F5FE0"/>
          <w:sz w:val="27"/>
          <w:szCs w:val="27"/>
        </w:rPr>
        <w:t xml:space="preserve">3. Teknoloji ve Model Karşılaştırması</w:t>
      </w:r>
    </w:p>
    <w:p>
      <w:pPr>
        <w:spacing w:after="150" w:line="276"/>
        <w:jc w:val="both"/>
      </w:pPr>
      <w:r>
        <w:rPr>
          <w:rFonts w:ascii="Calibri" w:cs="Calibri" w:eastAsia="Calibri" w:hAnsi="Calibri"/>
          <w:color w:val="1A1F2B"/>
          <w:sz w:val="22"/>
          <w:szCs w:val="22"/>
        </w:rPr>
        <w:t xml:space="preserve">Aşağıdaki tablo, her bileşen için raporun ne dediğini, repodaki gerçek durumu, uyum durumunu ve önerilen aksiyonu gösterir.</w:t>
      </w:r>
    </w:p>
    <w:tbl>
      <w:tblPr>
        <w:tblW w:type="dxa" w:w="9020"/>
        <w:tblBorders>
          <w:top w:val="single" w:color="C7D3F7" w:sz="4"/>
          <w:left w:val="single" w:color="C7D3F7" w:sz="4"/>
          <w:bottom w:val="single" w:color="C7D3F7" w:sz="4"/>
          <w:right w:val="single" w:color="C7D3F7" w:sz="4"/>
          <w:insideH w:val="single" w:color="C7D3F7" w:sz="4"/>
          <w:insideV w:val="single" w:color="C7D3F7" w:sz="4"/>
        </w:tblBorders>
      </w:tblPr>
      <w:tblGrid>
        <w:gridCol w:w="1650"/>
        <w:gridCol w:w="1950"/>
        <w:gridCol w:w="2300"/>
        <w:gridCol w:w="900"/>
        <w:gridCol w:w="2220"/>
      </w:tblGrid>
      <w:tr>
        <w:trPr>
          <w:tblHeader/>
        </w:trPr>
        <w:tc>
          <w:tcPr>
            <w:tcW w:type="dxa" w:w="1650"/>
            <w:shd w:fill="EEF2FD" w:color="auto" w:val="clear"/>
            <w:tcMar>
              <w:top w:type="dxa" w:w="50"/>
              <w:left w:type="dxa" w:w="80"/>
              <w:bottom w:type="dxa" w:w="50"/>
              <w:right w:type="dxa" w:w="80"/>
            </w:tcMar>
          </w:tcPr>
          <w:p>
            <w:pPr>
              <w:spacing w:after="0" w:line="236"/>
            </w:pPr>
            <w:r>
              <w:rPr>
                <w:rFonts w:ascii="Calibri" w:cs="Calibri" w:eastAsia="Calibri" w:hAnsi="Calibri"/>
                <w:b/>
                <w:bCs/>
                <w:color w:val="1A1F2B"/>
                <w:sz w:val="17"/>
                <w:szCs w:val="17"/>
              </w:rPr>
              <w:t xml:space="preserve">Bileşen</w:t>
            </w:r>
          </w:p>
        </w:tc>
        <w:tc>
          <w:tcPr>
            <w:tcW w:type="dxa" w:w="1950"/>
            <w:shd w:fill="EEF2FD" w:color="auto" w:val="clear"/>
            <w:tcMar>
              <w:top w:type="dxa" w:w="50"/>
              <w:left w:type="dxa" w:w="80"/>
              <w:bottom w:type="dxa" w:w="50"/>
              <w:right w:type="dxa" w:w="80"/>
            </w:tcMar>
          </w:tcPr>
          <w:p>
            <w:pPr>
              <w:spacing w:after="0" w:line="236"/>
            </w:pPr>
            <w:r>
              <w:rPr>
                <w:rFonts w:ascii="Calibri" w:cs="Calibri" w:eastAsia="Calibri" w:hAnsi="Calibri"/>
                <w:b/>
                <w:bCs/>
                <w:color w:val="1A1F2B"/>
                <w:sz w:val="17"/>
                <w:szCs w:val="17"/>
              </w:rPr>
              <w:t xml:space="preserve">Raporda (3.1–3.2)</w:t>
            </w:r>
          </w:p>
        </w:tc>
        <w:tc>
          <w:tcPr>
            <w:tcW w:type="dxa" w:w="2300"/>
            <w:shd w:fill="EEF2FD" w:color="auto" w:val="clear"/>
            <w:tcMar>
              <w:top w:type="dxa" w:w="50"/>
              <w:left w:type="dxa" w:w="80"/>
              <w:bottom w:type="dxa" w:w="50"/>
              <w:right w:type="dxa" w:w="80"/>
            </w:tcMar>
          </w:tcPr>
          <w:p>
            <w:pPr>
              <w:spacing w:after="0" w:line="236"/>
            </w:pPr>
            <w:r>
              <w:rPr>
                <w:rFonts w:ascii="Calibri" w:cs="Calibri" w:eastAsia="Calibri" w:hAnsi="Calibri"/>
                <w:b/>
                <w:bCs/>
                <w:color w:val="1A1F2B"/>
                <w:sz w:val="17"/>
                <w:szCs w:val="17"/>
              </w:rPr>
              <w:t xml:space="preserve">Repoda (gerçek kod)</w:t>
            </w:r>
          </w:p>
        </w:tc>
        <w:tc>
          <w:tcPr>
            <w:tcW w:type="dxa" w:w="900"/>
            <w:shd w:fill="EEF2FD" w:color="auto" w:val="clear"/>
            <w:tcMar>
              <w:top w:type="dxa" w:w="50"/>
              <w:left w:type="dxa" w:w="80"/>
              <w:bottom w:type="dxa" w:w="50"/>
              <w:right w:type="dxa" w:w="80"/>
            </w:tcMar>
          </w:tcPr>
          <w:p>
            <w:pPr>
              <w:spacing w:after="0" w:line="236"/>
            </w:pPr>
            <w:r>
              <w:rPr>
                <w:rFonts w:ascii="Calibri" w:cs="Calibri" w:eastAsia="Calibri" w:hAnsi="Calibri"/>
                <w:b/>
                <w:bCs/>
                <w:color w:val="1A1F2B"/>
                <w:sz w:val="17"/>
                <w:szCs w:val="17"/>
              </w:rPr>
              <w:t xml:space="preserve">Durum</w:t>
            </w:r>
          </w:p>
        </w:tc>
        <w:tc>
          <w:tcPr>
            <w:tcW w:type="dxa" w:w="2220"/>
            <w:shd w:fill="EEF2FD" w:color="auto" w:val="clear"/>
            <w:tcMar>
              <w:top w:type="dxa" w:w="50"/>
              <w:left w:type="dxa" w:w="80"/>
              <w:bottom w:type="dxa" w:w="50"/>
              <w:right w:type="dxa" w:w="80"/>
            </w:tcMar>
          </w:tcPr>
          <w:p>
            <w:pPr>
              <w:spacing w:after="0" w:line="236"/>
            </w:pPr>
            <w:r>
              <w:rPr>
                <w:rFonts w:ascii="Calibri" w:cs="Calibri" w:eastAsia="Calibri" w:hAnsi="Calibri"/>
                <w:b/>
                <w:bCs/>
                <w:color w:val="1A1F2B"/>
                <w:sz w:val="17"/>
                <w:szCs w:val="17"/>
              </w:rPr>
              <w:t xml:space="preserve">Önerilen aksiyon</w:t>
            </w:r>
          </w:p>
        </w:tc>
      </w:tr>
      <w:tr>
        <w:tc>
          <w:tcPr>
            <w:tcW w:type="dxa" w:w="165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Backend çatısı</w:t>
            </w:r>
          </w:p>
        </w:tc>
        <w:tc>
          <w:tcPr>
            <w:tcW w:type="dxa" w:w="195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FastAPI</w:t>
            </w:r>
          </w:p>
        </w:tc>
        <w:tc>
          <w:tcPr>
            <w:tcW w:type="dxa" w:w="23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FastAPI</w:t>
            </w:r>
          </w:p>
        </w:tc>
        <w:tc>
          <w:tcPr>
            <w:tcW w:type="dxa" w:w="900"/>
            <w:tcMar>
              <w:top w:type="dxa" w:w="50"/>
              <w:left w:type="dxa" w:w="80"/>
              <w:bottom w:type="dxa" w:w="50"/>
              <w:right w:type="dxa" w:w="80"/>
            </w:tcMar>
          </w:tcPr>
          <w:p>
            <w:pPr>
              <w:spacing w:after="0" w:line="236"/>
            </w:pPr>
            <w:r>
              <w:rPr>
                <w:rFonts w:ascii="Calibri" w:cs="Calibri" w:eastAsia="Calibri" w:hAnsi="Calibri"/>
                <w:b/>
                <w:bCs/>
                <w:color w:val="1E7A46"/>
                <w:sz w:val="18"/>
                <w:szCs w:val="18"/>
              </w:rPr>
              <w:t xml:space="preserve">Uyumlu</w:t>
            </w:r>
          </w:p>
        </w:tc>
        <w:tc>
          <w:tcPr>
            <w:tcW w:type="dxa" w:w="222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w:t>
            </w:r>
          </w:p>
        </w:tc>
      </w:tr>
      <w:tr>
        <w:tc>
          <w:tcPr>
            <w:tcW w:type="dxa" w:w="165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Veritabanı</w:t>
            </w:r>
          </w:p>
        </w:tc>
        <w:tc>
          <w:tcPr>
            <w:tcW w:type="dxa" w:w="195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PostgreSQL</w:t>
            </w:r>
          </w:p>
        </w:tc>
        <w:tc>
          <w:tcPr>
            <w:tcW w:type="dxa" w:w="23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SQLAlchemy + SQLite (PostgreSQL opsiyonel/kapalı)</w:t>
            </w:r>
          </w:p>
        </w:tc>
        <w:tc>
          <w:tcPr>
            <w:tcW w:type="dxa" w:w="900"/>
            <w:tcMar>
              <w:top w:type="dxa" w:w="50"/>
              <w:left w:type="dxa" w:w="80"/>
              <w:bottom w:type="dxa" w:w="50"/>
              <w:right w:type="dxa" w:w="80"/>
            </w:tcMar>
          </w:tcPr>
          <w:p>
            <w:pPr>
              <w:spacing w:after="0" w:line="236"/>
            </w:pPr>
            <w:r>
              <w:rPr>
                <w:rFonts w:ascii="Calibri" w:cs="Calibri" w:eastAsia="Calibri" w:hAnsi="Calibri"/>
                <w:b/>
                <w:bCs/>
                <w:color w:val="B45309"/>
                <w:sz w:val="18"/>
                <w:szCs w:val="18"/>
              </w:rPr>
              <w:t xml:space="preserve">Çelişki</w:t>
            </w:r>
          </w:p>
        </w:tc>
        <w:tc>
          <w:tcPr>
            <w:tcW w:type="dxa" w:w="222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Raporda “geliştirmede SQLite, canlıda PostgreSQL” diye netleştir ya da kodu PostgreSQL'e al.</w:t>
            </w:r>
          </w:p>
        </w:tc>
      </w:tr>
      <w:tr>
        <w:tc>
          <w:tcPr>
            <w:tcW w:type="dxa" w:w="165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API</w:t>
            </w:r>
          </w:p>
        </w:tc>
        <w:tc>
          <w:tcPr>
            <w:tcW w:type="dxa" w:w="195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REST (JSON)</w:t>
            </w:r>
          </w:p>
        </w:tc>
        <w:tc>
          <w:tcPr>
            <w:tcW w:type="dxa" w:w="23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REST (JSON)</w:t>
            </w:r>
          </w:p>
        </w:tc>
        <w:tc>
          <w:tcPr>
            <w:tcW w:type="dxa" w:w="900"/>
            <w:tcMar>
              <w:top w:type="dxa" w:w="50"/>
              <w:left w:type="dxa" w:w="80"/>
              <w:bottom w:type="dxa" w:w="50"/>
              <w:right w:type="dxa" w:w="80"/>
            </w:tcMar>
          </w:tcPr>
          <w:p>
            <w:pPr>
              <w:spacing w:after="0" w:line="236"/>
            </w:pPr>
            <w:r>
              <w:rPr>
                <w:rFonts w:ascii="Calibri" w:cs="Calibri" w:eastAsia="Calibri" w:hAnsi="Calibri"/>
                <w:b/>
                <w:bCs/>
                <w:color w:val="1E7A46"/>
                <w:sz w:val="18"/>
                <w:szCs w:val="18"/>
              </w:rPr>
              <w:t xml:space="preserve">Uyumlu</w:t>
            </w:r>
          </w:p>
        </w:tc>
        <w:tc>
          <w:tcPr>
            <w:tcW w:type="dxa" w:w="222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w:t>
            </w:r>
          </w:p>
        </w:tc>
      </w:tr>
      <w:tr>
        <w:tc>
          <w:tcPr>
            <w:tcW w:type="dxa" w:w="165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Görsel açıklama</w:t>
            </w:r>
          </w:p>
        </w:tc>
        <w:tc>
          <w:tcPr>
            <w:tcW w:type="dxa" w:w="195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Gemini 1.5 Flash</w:t>
            </w:r>
          </w:p>
        </w:tc>
        <w:tc>
          <w:tcPr>
            <w:tcW w:type="dxa" w:w="23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alt_text_service → Gemini 1.5 Flash (şimdilik mock, anahtar bekliyor)</w:t>
            </w:r>
          </w:p>
        </w:tc>
        <w:tc>
          <w:tcPr>
            <w:tcW w:type="dxa" w:w="900"/>
            <w:tcMar>
              <w:top w:type="dxa" w:w="50"/>
              <w:left w:type="dxa" w:w="80"/>
              <w:bottom w:type="dxa" w:w="50"/>
              <w:right w:type="dxa" w:w="80"/>
            </w:tcMar>
          </w:tcPr>
          <w:p>
            <w:pPr>
              <w:spacing w:after="0" w:line="236"/>
            </w:pPr>
            <w:r>
              <w:rPr>
                <w:rFonts w:ascii="Calibri" w:cs="Calibri" w:eastAsia="Calibri" w:hAnsi="Calibri"/>
                <w:b/>
                <w:bCs/>
                <w:color w:val="B45309"/>
                <w:sz w:val="18"/>
                <w:szCs w:val="18"/>
              </w:rPr>
              <w:t xml:space="preserve">Kısmi</w:t>
            </w:r>
          </w:p>
        </w:tc>
        <w:tc>
          <w:tcPr>
            <w:tcW w:type="dxa" w:w="222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Anahtar/M-04 bağlanınca model adının Gemini 1.5 Flash olduğunu teyit et.</w:t>
            </w:r>
          </w:p>
        </w:tc>
      </w:tr>
      <w:tr>
        <w:tc>
          <w:tcPr>
            <w:tcW w:type="dxa" w:w="165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Otomatik altyazı</w:t>
            </w:r>
          </w:p>
        </w:tc>
        <w:tc>
          <w:tcPr>
            <w:tcW w:type="dxa" w:w="195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Whisper Large-v3 / Turbo</w:t>
            </w:r>
          </w:p>
        </w:tc>
        <w:tc>
          <w:tcPr>
            <w:tcW w:type="dxa" w:w="23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Whisper — varsayılan model “base” (Sevda kodu)</w:t>
            </w:r>
          </w:p>
        </w:tc>
        <w:tc>
          <w:tcPr>
            <w:tcW w:type="dxa" w:w="900"/>
            <w:tcMar>
              <w:top w:type="dxa" w:w="50"/>
              <w:left w:type="dxa" w:w="80"/>
              <w:bottom w:type="dxa" w:w="50"/>
              <w:right w:type="dxa" w:w="80"/>
            </w:tcMar>
          </w:tcPr>
          <w:p>
            <w:pPr>
              <w:spacing w:after="0" w:line="236"/>
            </w:pPr>
            <w:r>
              <w:rPr>
                <w:rFonts w:ascii="Calibri" w:cs="Calibri" w:eastAsia="Calibri" w:hAnsi="Calibri"/>
                <w:b/>
                <w:bCs/>
                <w:color w:val="B45309"/>
                <w:sz w:val="18"/>
                <w:szCs w:val="18"/>
              </w:rPr>
              <w:t xml:space="preserve">Çelişki</w:t>
            </w:r>
          </w:p>
        </w:tc>
        <w:tc>
          <w:tcPr>
            <w:tcW w:type="dxa" w:w="222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Model adını eşitle: ya kodu large-v3'e çek (WHISPER_MODEL) ya da raporu güncelle.</w:t>
            </w:r>
          </w:p>
        </w:tc>
      </w:tr>
      <w:tr>
        <w:tc>
          <w:tcPr>
            <w:tcW w:type="dxa" w:w="165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Ses işleme</w:t>
            </w:r>
          </w:p>
        </w:tc>
        <w:tc>
          <w:tcPr>
            <w:tcW w:type="dxa" w:w="195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FFmpeg</w:t>
            </w:r>
          </w:p>
        </w:tc>
        <w:tc>
          <w:tcPr>
            <w:tcW w:type="dxa" w:w="23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FFmpeg</w:t>
            </w:r>
          </w:p>
        </w:tc>
        <w:tc>
          <w:tcPr>
            <w:tcW w:type="dxa" w:w="900"/>
            <w:tcMar>
              <w:top w:type="dxa" w:w="50"/>
              <w:left w:type="dxa" w:w="80"/>
              <w:bottom w:type="dxa" w:w="50"/>
              <w:right w:type="dxa" w:w="80"/>
            </w:tcMar>
          </w:tcPr>
          <w:p>
            <w:pPr>
              <w:spacing w:after="0" w:line="236"/>
            </w:pPr>
            <w:r>
              <w:rPr>
                <w:rFonts w:ascii="Calibri" w:cs="Calibri" w:eastAsia="Calibri" w:hAnsi="Calibri"/>
                <w:b/>
                <w:bCs/>
                <w:color w:val="1E7A46"/>
                <w:sz w:val="18"/>
                <w:szCs w:val="18"/>
              </w:rPr>
              <w:t xml:space="preserve">Uyumlu</w:t>
            </w:r>
          </w:p>
        </w:tc>
        <w:tc>
          <w:tcPr>
            <w:tcW w:type="dxa" w:w="222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w:t>
            </w:r>
          </w:p>
        </w:tc>
      </w:tr>
      <w:tr>
        <w:tc>
          <w:tcPr>
            <w:tcW w:type="dxa" w:w="165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Alternatif ASR</w:t>
            </w:r>
          </w:p>
        </w:tc>
        <w:tc>
          <w:tcPr>
            <w:tcW w:type="dxa" w:w="195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Wav2Vec2 (yalnızca kıyas)</w:t>
            </w:r>
          </w:p>
        </w:tc>
        <w:tc>
          <w:tcPr>
            <w:tcW w:type="dxa" w:w="23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Kodda yok (kullanılmıyor)</w:t>
            </w:r>
          </w:p>
        </w:tc>
        <w:tc>
          <w:tcPr>
            <w:tcW w:type="dxa" w:w="900"/>
            <w:tcMar>
              <w:top w:type="dxa" w:w="50"/>
              <w:left w:type="dxa" w:w="80"/>
              <w:bottom w:type="dxa" w:w="50"/>
              <w:right w:type="dxa" w:w="80"/>
            </w:tcMar>
          </w:tcPr>
          <w:p>
            <w:pPr>
              <w:spacing w:after="0" w:line="236"/>
            </w:pPr>
            <w:r>
              <w:rPr>
                <w:rFonts w:ascii="Calibri" w:cs="Calibri" w:eastAsia="Calibri" w:hAnsi="Calibri"/>
                <w:b/>
                <w:bCs/>
                <w:color w:val="1E7A46"/>
                <w:sz w:val="18"/>
                <w:szCs w:val="18"/>
              </w:rPr>
              <w:t xml:space="preserve">Uyumlu</w:t>
            </w:r>
          </w:p>
        </w:tc>
        <w:tc>
          <w:tcPr>
            <w:tcW w:type="dxa" w:w="222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Raporda “yalnızca karşılaştırma modeli” olduğu net kalsın.</w:t>
            </w:r>
          </w:p>
        </w:tc>
      </w:tr>
      <w:tr>
        <w:tc>
          <w:tcPr>
            <w:tcW w:type="dxa" w:w="165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Sürüm kontrolü</w:t>
            </w:r>
          </w:p>
        </w:tc>
        <w:tc>
          <w:tcPr>
            <w:tcW w:type="dxa" w:w="195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Git / GitHub (Organization)</w:t>
            </w:r>
          </w:p>
        </w:tc>
        <w:tc>
          <w:tcPr>
            <w:tcW w:type="dxa" w:w="23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Git / GitHub (Organization)</w:t>
            </w:r>
          </w:p>
        </w:tc>
        <w:tc>
          <w:tcPr>
            <w:tcW w:type="dxa" w:w="900"/>
            <w:tcMar>
              <w:top w:type="dxa" w:w="50"/>
              <w:left w:type="dxa" w:w="80"/>
              <w:bottom w:type="dxa" w:w="50"/>
              <w:right w:type="dxa" w:w="80"/>
            </w:tcMar>
          </w:tcPr>
          <w:p>
            <w:pPr>
              <w:spacing w:after="0" w:line="236"/>
            </w:pPr>
            <w:r>
              <w:rPr>
                <w:rFonts w:ascii="Calibri" w:cs="Calibri" w:eastAsia="Calibri" w:hAnsi="Calibri"/>
                <w:b/>
                <w:bCs/>
                <w:color w:val="1E7A46"/>
                <w:sz w:val="18"/>
                <w:szCs w:val="18"/>
              </w:rPr>
              <w:t xml:space="preserve">Uyumlu</w:t>
            </w:r>
          </w:p>
        </w:tc>
        <w:tc>
          <w:tcPr>
            <w:tcW w:type="dxa" w:w="222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Repo linkini ve erişimi doğrula (aşağıya bak).</w:t>
            </w:r>
          </w:p>
        </w:tc>
      </w:tr>
      <w:tr>
        <w:tc>
          <w:tcPr>
            <w:tcW w:type="dxa" w:w="165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Frontend</w:t>
            </w:r>
          </w:p>
        </w:tc>
        <w:tc>
          <w:tcPr>
            <w:tcW w:type="dxa" w:w="195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(raporda belirtilmemiş)</w:t>
            </w:r>
          </w:p>
        </w:tc>
        <w:tc>
          <w:tcPr>
            <w:tcW w:type="dxa" w:w="23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HTML5 + CSS + JavaScript</w:t>
            </w:r>
          </w:p>
        </w:tc>
        <w:tc>
          <w:tcPr>
            <w:tcW w:type="dxa" w:w="900"/>
            <w:tcMar>
              <w:top w:type="dxa" w:w="50"/>
              <w:left w:type="dxa" w:w="80"/>
              <w:bottom w:type="dxa" w:w="50"/>
              <w:right w:type="dxa" w:w="80"/>
            </w:tcMar>
          </w:tcPr>
          <w:p>
            <w:pPr>
              <w:spacing w:after="0" w:line="236"/>
            </w:pPr>
            <w:r>
              <w:rPr>
                <w:rFonts w:ascii="Calibri" w:cs="Calibri" w:eastAsia="Calibri" w:hAnsi="Calibri"/>
                <w:b w:val="false"/>
                <w:bCs w:val="false"/>
                <w:color w:val="1A1F2B"/>
                <w:sz w:val="18"/>
                <w:szCs w:val="18"/>
              </w:rPr>
              <w:t xml:space="preserve">Eksik</w:t>
            </w:r>
          </w:p>
        </w:tc>
        <w:tc>
          <w:tcPr>
            <w:tcW w:type="dxa" w:w="2220"/>
            <w:tcMar>
              <w:top w:type="dxa" w:w="50"/>
              <w:left w:type="dxa" w:w="80"/>
              <w:bottom w:type="dxa" w:w="50"/>
              <w:right w:type="dxa" w:w="80"/>
            </w:tcMar>
          </w:tcPr>
          <w:p>
            <w:pPr>
              <w:spacing w:after="0" w:line="236"/>
            </w:pPr>
            <w:r>
              <w:rPr>
                <w:rFonts w:ascii="Calibri" w:cs="Calibri" w:eastAsia="Calibri" w:hAnsi="Calibri"/>
                <w:b/>
                <w:bCs/>
                <w:color w:val="1A1F2B"/>
                <w:sz w:val="18"/>
                <w:szCs w:val="18"/>
              </w:rPr>
              <w:t xml:space="preserve">Rapora kısa bir frontend teknoloji satırı ekle.</w:t>
            </w:r>
          </w:p>
        </w:tc>
      </w:tr>
    </w:tbl>
    <w:p>
      <w:pPr>
        <w:spacing w:after="180"/>
        <w:jc w:val="center"/>
      </w:pPr>
      <w:r>
        <w:rPr>
          <w:rFonts w:ascii="Calibri" w:cs="Calibri" w:eastAsia="Calibri" w:hAnsi="Calibri"/>
          <w:i/>
          <w:iCs/>
          <w:color w:val="5B6472"/>
          <w:sz w:val="18"/>
          <w:szCs w:val="18"/>
        </w:rPr>
        <w:t xml:space="preserve">Tablo 1. Rapor–repo teknoloji karşılaştırması.</w:t>
      </w:r>
    </w:p>
    <w:p>
      <w:pPr>
        <w:pStyle w:val="Heading1"/>
        <w:spacing w:after="120" w:before="230"/>
      </w:pPr>
      <w:r>
        <w:rPr>
          <w:rFonts w:ascii="Calibri" w:cs="Calibri" w:eastAsia="Calibri" w:hAnsi="Calibri"/>
          <w:b/>
          <w:bCs/>
          <w:color w:val="2F5FE0"/>
          <w:sz w:val="27"/>
          <w:szCs w:val="27"/>
        </w:rPr>
        <w:t xml:space="preserve">4. Öne Çıkan Çelişkiler ve Düzeltmeler</w:t>
      </w:r>
    </w:p>
    <w:p>
      <w:pPr>
        <w:spacing w:after="150" w:line="276"/>
        <w:jc w:val="both"/>
      </w:pPr>
      <w:r>
        <w:rPr>
          <w:rFonts w:ascii="Calibri" w:cs="Calibri" w:eastAsia="Calibri" w:hAnsi="Calibri"/>
          <w:b/>
          <w:bCs/>
          <w:color w:val="1A1F2B"/>
          <w:sz w:val="22"/>
          <w:szCs w:val="22"/>
        </w:rPr>
        <w:t xml:space="preserve">a) Altyazı modeli (öncelikli). </w:t>
      </w:r>
      <w:r>
        <w:rPr>
          <w:rFonts w:ascii="Calibri" w:cs="Calibri" w:eastAsia="Calibri" w:hAnsi="Calibri"/>
          <w:color w:val="1A1F2B"/>
          <w:sz w:val="22"/>
          <w:szCs w:val="22"/>
        </w:rPr>
        <w:t xml:space="preserve">Rapor 3.1'de ana konuşma tanıma modeli “Whisper Large-v3 / Turbo” olarak savunuluyor; ancak repodaki gerçek kodda varsayılan model “base”. Bu, jürinin fark edebileceği bir çelişkidir. Çözüm: kodu large-v3'e çekmek (ayarlardaki WHISPER_MODEL değeri) ya da raporu “başlangıçta base ile test, hedef large-v3” diyecek şekilde güncellemek. En temizi ikisini aynı model adında buluşturmaktır.</w:t>
      </w:r>
    </w:p>
    <w:p>
      <w:pPr>
        <w:spacing w:after="150" w:line="276"/>
        <w:jc w:val="both"/>
      </w:pPr>
      <w:r>
        <w:rPr>
          <w:rFonts w:ascii="Calibri" w:cs="Calibri" w:eastAsia="Calibri" w:hAnsi="Calibri"/>
          <w:b/>
          <w:bCs/>
          <w:color w:val="1A1F2B"/>
          <w:sz w:val="22"/>
          <w:szCs w:val="22"/>
        </w:rPr>
        <w:t xml:space="preserve">b) Veritabanı. </w:t>
      </w:r>
      <w:r>
        <w:rPr>
          <w:rFonts w:ascii="Calibri" w:cs="Calibri" w:eastAsia="Calibri" w:hAnsi="Calibri"/>
          <w:color w:val="1A1F2B"/>
          <w:sz w:val="22"/>
          <w:szCs w:val="22"/>
        </w:rPr>
        <w:t xml:space="preserve">Rapor PostgreSQL diyor; kod geliştirmede SQLite kullanıyor (PostgreSQL opsiyonel bırakıldı). Çözüm: raporda “geliştirme aşamasında SQLite, canlıda PostgreSQL” ifadesini eklemek veya kodu PostgreSQL'e almak.</w:t>
      </w:r>
    </w:p>
    <w:p>
      <w:pPr>
        <w:spacing w:after="150" w:line="276"/>
        <w:jc w:val="both"/>
      </w:pPr>
      <w:r>
        <w:rPr>
          <w:rFonts w:ascii="Calibri" w:cs="Calibri" w:eastAsia="Calibri" w:hAnsi="Calibri"/>
          <w:b/>
          <w:bCs/>
          <w:color w:val="1A1F2B"/>
          <w:sz w:val="22"/>
          <w:szCs w:val="22"/>
        </w:rPr>
        <w:t xml:space="preserve">c) Görsel açıklama modeli. </w:t>
      </w:r>
      <w:r>
        <w:rPr>
          <w:rFonts w:ascii="Calibri" w:cs="Calibri" w:eastAsia="Calibri" w:hAnsi="Calibri"/>
          <w:color w:val="1A1F2B"/>
          <w:sz w:val="22"/>
          <w:szCs w:val="22"/>
        </w:rPr>
        <w:t xml:space="preserve">Rapor ve kod “Gemini 1.5 Flash” diyerek uyumlu; ancak modül şu an mock çalışıyor (API anahtarı / M-04 henüz bağlı değil). Bağlandığında gerçekten Gemini 1.5 Flash kullanıldığı teyit edilmeli.</w:t>
      </w:r>
    </w:p>
    <w:p>
      <w:pPr>
        <w:spacing w:after="150" w:line="276"/>
        <w:jc w:val="both"/>
      </w:pPr>
      <w:r>
        <w:rPr>
          <w:rFonts w:ascii="Calibri" w:cs="Calibri" w:eastAsia="Calibri" w:hAnsi="Calibri"/>
          <w:b/>
          <w:bCs/>
          <w:color w:val="1A1F2B"/>
          <w:sz w:val="22"/>
          <w:szCs w:val="22"/>
        </w:rPr>
        <w:t xml:space="preserve">d) Frontend. </w:t>
      </w:r>
      <w:r>
        <w:rPr>
          <w:rFonts w:ascii="Calibri" w:cs="Calibri" w:eastAsia="Calibri" w:hAnsi="Calibri"/>
          <w:color w:val="1A1F2B"/>
          <w:sz w:val="22"/>
          <w:szCs w:val="22"/>
        </w:rPr>
        <w:t xml:space="preserve">Repoya HTML/CSS/JavaScript tabanlı bir arayüz eklendi ama raporda frontend teknolojisi belirtilmiyor. Rapora kısa bir satır eklemek tutarlılığı artırır.</w:t>
      </w:r>
    </w:p>
    <w:p>
      <w:pPr>
        <w:pStyle w:val="Heading1"/>
        <w:spacing w:after="120" w:before="230"/>
      </w:pPr>
      <w:r>
        <w:rPr>
          <w:rFonts w:ascii="Calibri" w:cs="Calibri" w:eastAsia="Calibri" w:hAnsi="Calibri"/>
          <w:b/>
          <w:bCs/>
          <w:color w:val="2F5FE0"/>
          <w:sz w:val="27"/>
          <w:szCs w:val="27"/>
        </w:rPr>
        <w:t xml:space="preserve">5. Doğrulanması Gerekenler (canlı kontrol)</w:t>
      </w:r>
    </w:p>
    <w:p>
      <w:pPr>
        <w:spacing w:after="150" w:line="276"/>
        <w:jc w:val="both"/>
      </w:pPr>
      <w:r>
        <w:rPr>
          <w:rFonts w:ascii="Calibri" w:cs="Calibri" w:eastAsia="Calibri" w:hAnsi="Calibri"/>
          <w:color w:val="1A1F2B"/>
          <w:sz w:val="22"/>
          <w:szCs w:val="22"/>
        </w:rPr>
        <w:t xml:space="preserve">Bu maddeler repoyu açıkken kontrol edilmelidir: repo linkinin gerçekten açıldığı; rapordaki mimari şemasının koddaki katmanlarla (API Gateway, orkestrasyon, servisler, veri katmanı) örtüştüğü; Merve'nin görsel açıklama modülünün (M-04) rapordaki model adıyla aynı olduğu; ve rapordaki tüm bağlantıların (repo, doküman linkleri) tıklandığında açıldığı.</w:t>
      </w:r>
    </w:p>
    <w:p>
      <w:pPr>
        <w:spacing w:after="150" w:line="276"/>
        <w:jc w:val="both"/>
      </w:pPr>
      <w:r>
        <w:rPr>
          <w:rFonts w:ascii="Calibri" w:cs="Calibri" w:eastAsia="Calibri" w:hAnsi="Calibri"/>
          <w:color w:val="1A1F2B"/>
          <w:sz w:val="22"/>
          <w:szCs w:val="22"/>
        </w:rPr>
        <w:t xml:space="preserve">Yukarıdaki (a) ve (b) çelişkileri düzeltildiğinde, rapordaki mimari ve kullanılan teknolojiler repo ile birebir uyumlu hale gelir; bu da Z-07'nin kabul ölçütünü karşılar.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ywipkmtdk-tkcrzeese" Type="http://schemas.openxmlformats.org/officeDocument/2006/relationships/hyperlink" Target="https://github.com/erisilebilir-destek/erisilebilir-destek"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2026-08-22T16:16:10.471Z</dcterms:created>
  <dcterms:modified xsi:type="dcterms:W3CDTF">2026-08-22T16:16:10.485Z</dcterms:modified>
</cp:coreProperties>
</file>

<file path=docProps/custom.xml><?xml version="1.0" encoding="utf-8"?>
<Properties xmlns="http://schemas.openxmlformats.org/officeDocument/2006/custom-properties" xmlns:vt="http://schemas.openxmlformats.org/officeDocument/2006/docPropsVTypes"/>
</file>