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CE7FF" w14:textId="77777777" w:rsidR="00E61831" w:rsidRPr="00E61831" w:rsidRDefault="00E61831" w:rsidP="00E61831">
      <w:pPr>
        <w:pStyle w:val="Normalwebb"/>
        <w:rPr>
          <w:lang w:val="en-US"/>
        </w:rPr>
      </w:pPr>
      <w:hyperlink r:id="rId4" w:tooltip="Croatia" w:history="1">
        <w:r w:rsidRPr="00E61831">
          <w:rPr>
            <w:rStyle w:val="Hyperlnk"/>
            <w:lang w:val="en-US"/>
          </w:rPr>
          <w:t>Croatia</w:t>
        </w:r>
      </w:hyperlink>
      <w:r w:rsidRPr="00E61831">
        <w:rPr>
          <w:lang w:val="en-US"/>
        </w:rPr>
        <w:t xml:space="preserve"> adopted the </w:t>
      </w:r>
      <w:hyperlink r:id="rId5" w:tooltip="Euro" w:history="1">
        <w:r w:rsidRPr="00E61831">
          <w:rPr>
            <w:rStyle w:val="Hyperlnk"/>
            <w:lang w:val="en-US"/>
          </w:rPr>
          <w:t>euro</w:t>
        </w:r>
      </w:hyperlink>
      <w:r w:rsidRPr="00E61831">
        <w:rPr>
          <w:lang w:val="en-US"/>
        </w:rPr>
        <w:t xml:space="preserve"> as its currency on 1 January 2023, becoming the 20th member state of the </w:t>
      </w:r>
      <w:hyperlink r:id="rId6" w:tooltip="Eurozone" w:history="1">
        <w:r w:rsidRPr="00E61831">
          <w:rPr>
            <w:rStyle w:val="Hyperlnk"/>
            <w:lang w:val="en-US"/>
          </w:rPr>
          <w:t>eurozone</w:t>
        </w:r>
      </w:hyperlink>
      <w:r w:rsidRPr="00E61831">
        <w:rPr>
          <w:lang w:val="en-US"/>
        </w:rPr>
        <w:t xml:space="preserve">. This was the first expansion of the monetary union since </w:t>
      </w:r>
      <w:hyperlink r:id="rId7" w:tooltip="Lithuania and the euro" w:history="1">
        <w:r w:rsidRPr="00E61831">
          <w:rPr>
            <w:rStyle w:val="Hyperlnk"/>
            <w:lang w:val="en-US"/>
          </w:rPr>
          <w:t>Lithuania joined</w:t>
        </w:r>
      </w:hyperlink>
      <w:r w:rsidRPr="00E61831">
        <w:rPr>
          <w:lang w:val="en-US"/>
        </w:rPr>
        <w:t xml:space="preserve"> in 2015. A fixed conversion rate was set at 1 € = 7.5345 kn.</w:t>
      </w:r>
      <w:hyperlink r:id="rId8" w:anchor="cite_note-auto-2" w:history="1">
        <w:r w:rsidRPr="00E61831">
          <w:rPr>
            <w:rStyle w:val="Hyperlnk"/>
            <w:vertAlign w:val="superscript"/>
            <w:lang w:val="en-US"/>
          </w:rPr>
          <w:t>[1]</w:t>
        </w:r>
      </w:hyperlink>
      <w:r w:rsidRPr="00E61831">
        <w:rPr>
          <w:lang w:val="en-US"/>
        </w:rPr>
        <w:t xml:space="preserve"> </w:t>
      </w:r>
    </w:p>
    <w:p w14:paraId="593D0C09" w14:textId="77777777" w:rsidR="00E61831" w:rsidRPr="00E61831" w:rsidRDefault="00E61831" w:rsidP="00E61831">
      <w:pPr>
        <w:pStyle w:val="Normalwebb"/>
        <w:rPr>
          <w:lang w:val="en-US"/>
        </w:rPr>
      </w:pPr>
      <w:r w:rsidRPr="00E61831">
        <w:rPr>
          <w:lang w:val="en-US"/>
        </w:rPr>
        <w:t xml:space="preserve">Croatia's previous currency, the </w:t>
      </w:r>
      <w:hyperlink r:id="rId9" w:tooltip="Croatian kuna" w:history="1">
        <w:r w:rsidRPr="00E61831">
          <w:rPr>
            <w:rStyle w:val="Hyperlnk"/>
            <w:lang w:val="en-US"/>
          </w:rPr>
          <w:t>kuna</w:t>
        </w:r>
      </w:hyperlink>
      <w:r w:rsidRPr="00E61831">
        <w:rPr>
          <w:lang w:val="en-US"/>
        </w:rPr>
        <w:t xml:space="preserve">, used the euro (and prior to that one of the euro's major predecessors, the </w:t>
      </w:r>
      <w:hyperlink r:id="rId10" w:tooltip="German mark" w:history="1">
        <w:r w:rsidRPr="00E61831">
          <w:rPr>
            <w:rStyle w:val="Hyperlnk"/>
            <w:lang w:val="en-US"/>
          </w:rPr>
          <w:t>German mark or Deutsche Mark</w:t>
        </w:r>
      </w:hyperlink>
      <w:r w:rsidRPr="00E61831">
        <w:rPr>
          <w:lang w:val="en-US"/>
        </w:rPr>
        <w:t xml:space="preserve">) as its main reference since its creation in 1994, and a long-held policy of the </w:t>
      </w:r>
      <w:hyperlink r:id="rId11" w:tooltip="Croatian National Bank" w:history="1">
        <w:r w:rsidRPr="00E61831">
          <w:rPr>
            <w:rStyle w:val="Hyperlnk"/>
            <w:lang w:val="en-US"/>
          </w:rPr>
          <w:t>Croatian National Bank</w:t>
        </w:r>
      </w:hyperlink>
      <w:r w:rsidRPr="00E61831">
        <w:rPr>
          <w:lang w:val="en-US"/>
        </w:rPr>
        <w:t xml:space="preserve"> was to keep the kuna's exchange rate with the euro within a relatively stable range.</w:t>
      </w:r>
      <w:hyperlink r:id="rId12" w:anchor="cite_note-3" w:history="1">
        <w:r w:rsidRPr="00E61831">
          <w:rPr>
            <w:rStyle w:val="Hyperlnk"/>
            <w:vertAlign w:val="superscript"/>
            <w:lang w:val="en-US"/>
          </w:rPr>
          <w:t>[2]</w:t>
        </w:r>
      </w:hyperlink>
      <w:r w:rsidRPr="00E61831">
        <w:rPr>
          <w:lang w:val="en-US"/>
        </w:rPr>
        <w:t xml:space="preserve"> </w:t>
      </w:r>
    </w:p>
    <w:p w14:paraId="16038C6A" w14:textId="77777777" w:rsidR="00E61831" w:rsidRPr="00E61831" w:rsidRDefault="00E61831" w:rsidP="00E61831">
      <w:pPr>
        <w:pStyle w:val="Normalwebb"/>
        <w:rPr>
          <w:lang w:val="en-US"/>
        </w:rPr>
      </w:pPr>
      <w:r w:rsidRPr="00E61831">
        <w:rPr>
          <w:lang w:val="en-US"/>
        </w:rPr>
        <w:t xml:space="preserve">Croatia's EU membership obliged it to introduce the euro once it fulfilled the </w:t>
      </w:r>
      <w:hyperlink r:id="rId13" w:tooltip="Euro convergence criteria" w:history="1">
        <w:r w:rsidRPr="00E61831">
          <w:rPr>
            <w:rStyle w:val="Hyperlnk"/>
            <w:lang w:val="en-US"/>
          </w:rPr>
          <w:t>euro convergence criteria</w:t>
        </w:r>
      </w:hyperlink>
      <w:r w:rsidRPr="00E61831">
        <w:rPr>
          <w:lang w:val="en-US"/>
        </w:rPr>
        <w:t>.</w:t>
      </w:r>
      <w:hyperlink r:id="rId14" w:anchor="cite_note-4" w:history="1">
        <w:r w:rsidRPr="00E61831">
          <w:rPr>
            <w:rStyle w:val="Hyperlnk"/>
            <w:vertAlign w:val="superscript"/>
            <w:lang w:val="en-US"/>
          </w:rPr>
          <w:t>[3]</w:t>
        </w:r>
      </w:hyperlink>
      <w:r w:rsidRPr="00E61831">
        <w:rPr>
          <w:lang w:val="en-US"/>
        </w:rPr>
        <w:t xml:space="preserve"> Prior to Croatian entry to the EU on 1 July 2013, </w:t>
      </w:r>
      <w:hyperlink r:id="rId15" w:tooltip="Boris Vujčić" w:history="1">
        <w:r w:rsidRPr="00E61831">
          <w:rPr>
            <w:rStyle w:val="Hyperlnk"/>
            <w:lang w:val="en-US"/>
          </w:rPr>
          <w:t>Boris Vujčić</w:t>
        </w:r>
      </w:hyperlink>
      <w:r w:rsidRPr="00E61831">
        <w:rPr>
          <w:lang w:val="en-US"/>
        </w:rPr>
        <w:t>, governor of the Croatian National Bank, stated that he would like the kuna to be replaced by the euro as soon as possible after accession.</w:t>
      </w:r>
      <w:hyperlink r:id="rId16" w:anchor="cite_note-wsj-5" w:history="1">
        <w:r w:rsidRPr="00E61831">
          <w:rPr>
            <w:rStyle w:val="Hyperlnk"/>
            <w:vertAlign w:val="superscript"/>
            <w:lang w:val="en-US"/>
          </w:rPr>
          <w:t>[4]</w:t>
        </w:r>
      </w:hyperlink>
      <w:r w:rsidRPr="00E61831">
        <w:rPr>
          <w:lang w:val="en-US"/>
        </w:rPr>
        <w:t xml:space="preserve"> This had to be at least two years after Croatia joined the </w:t>
      </w:r>
      <w:hyperlink r:id="rId17" w:tooltip="European Exchange Rate Mechanism" w:history="1">
        <w:r w:rsidRPr="00E61831">
          <w:rPr>
            <w:rStyle w:val="Hyperlnk"/>
            <w:lang w:val="en-US"/>
          </w:rPr>
          <w:t>ERM II</w:t>
        </w:r>
      </w:hyperlink>
      <w:r w:rsidRPr="00E61831">
        <w:rPr>
          <w:lang w:val="en-US"/>
        </w:rPr>
        <w:t xml:space="preserve"> (in addition to it meeting other criteria). Croatia joined ERM II on 10 July 2020.</w:t>
      </w:r>
      <w:hyperlink r:id="rId18" w:anchor="cite_note-ecb.europa.eu-6" w:history="1">
        <w:r w:rsidRPr="00E61831">
          <w:rPr>
            <w:rStyle w:val="Hyperlnk"/>
            <w:vertAlign w:val="superscript"/>
            <w:lang w:val="en-US"/>
          </w:rPr>
          <w:t>[5]</w:t>
        </w:r>
      </w:hyperlink>
      <w:r w:rsidRPr="00E61831">
        <w:rPr>
          <w:lang w:val="en-US"/>
        </w:rPr>
        <w:t xml:space="preserve"> Prime Minister </w:t>
      </w:r>
      <w:hyperlink r:id="rId19" w:tooltip="Andrej Plenković" w:history="1">
        <w:r w:rsidRPr="00E61831">
          <w:rPr>
            <w:rStyle w:val="Hyperlnk"/>
            <w:lang w:val="en-US"/>
          </w:rPr>
          <w:t>Andrej Plenković</w:t>
        </w:r>
      </w:hyperlink>
      <w:r w:rsidRPr="00E61831">
        <w:rPr>
          <w:lang w:val="en-US"/>
        </w:rPr>
        <w:t xml:space="preserve"> stated in November 2020 that Croatia intended to adopt the euro on 1 January 2023,</w:t>
      </w:r>
      <w:hyperlink r:id="rId20" w:anchor="cite_note-auto1-7" w:history="1">
        <w:r w:rsidRPr="00E61831">
          <w:rPr>
            <w:rStyle w:val="Hyperlnk"/>
            <w:vertAlign w:val="superscript"/>
            <w:lang w:val="en-US"/>
          </w:rPr>
          <w:t>[6]</w:t>
        </w:r>
      </w:hyperlink>
      <w:r w:rsidRPr="00E61831">
        <w:rPr>
          <w:lang w:val="en-US"/>
        </w:rPr>
        <w:t xml:space="preserve"> and the Croatian government adopted an action plan for euro adoption later in December 2020.</w:t>
      </w:r>
      <w:hyperlink r:id="rId21" w:anchor="cite_note-8" w:history="1">
        <w:r w:rsidRPr="00E61831">
          <w:rPr>
            <w:rStyle w:val="Hyperlnk"/>
            <w:vertAlign w:val="superscript"/>
            <w:lang w:val="en-US"/>
          </w:rPr>
          <w:t>[7]</w:t>
        </w:r>
      </w:hyperlink>
      <w:r w:rsidRPr="00E61831">
        <w:rPr>
          <w:lang w:val="en-US"/>
        </w:rPr>
        <w:t xml:space="preserve"> </w:t>
      </w:r>
    </w:p>
    <w:p w14:paraId="212E7B80" w14:textId="77777777" w:rsidR="00E61831" w:rsidRPr="00E61831" w:rsidRDefault="00E61831" w:rsidP="00E61831">
      <w:pPr>
        <w:pStyle w:val="Normalwebb"/>
        <w:rPr>
          <w:lang w:val="en-US"/>
        </w:rPr>
      </w:pPr>
      <w:r w:rsidRPr="00E61831">
        <w:rPr>
          <w:lang w:val="en-US"/>
        </w:rPr>
        <w:t>Many small businesses in Croatia had debts denominated in euros before EU accession.</w:t>
      </w:r>
      <w:hyperlink r:id="rId22" w:anchor="cite_note-9" w:history="1">
        <w:r w:rsidRPr="00E61831">
          <w:rPr>
            <w:rStyle w:val="Hyperlnk"/>
            <w:vertAlign w:val="superscript"/>
            <w:lang w:val="en-US"/>
          </w:rPr>
          <w:t>[8]</w:t>
        </w:r>
      </w:hyperlink>
      <w:r w:rsidRPr="00E61831">
        <w:rPr>
          <w:lang w:val="en-US"/>
        </w:rPr>
        <w:t xml:space="preserve"> Croatians already used the euro for most </w:t>
      </w:r>
      <w:hyperlink r:id="rId23" w:tooltip="Saving" w:history="1">
        <w:r w:rsidRPr="00E61831">
          <w:rPr>
            <w:rStyle w:val="Hyperlnk"/>
            <w:lang w:val="en-US"/>
          </w:rPr>
          <w:t>savings</w:t>
        </w:r>
      </w:hyperlink>
      <w:r w:rsidRPr="00E61831">
        <w:rPr>
          <w:lang w:val="en-US"/>
        </w:rPr>
        <w:t xml:space="preserve"> and many informal transactions. Real estate, motor vehicle and accommodation prices were mostly quoted in euros. </w:t>
      </w:r>
    </w:p>
    <w:p w14:paraId="0F44B1CC" w14:textId="77777777" w:rsidR="00E61831" w:rsidRDefault="00E61831" w:rsidP="00E61831">
      <w:pPr>
        <w:pStyle w:val="Normalwebb"/>
      </w:pPr>
      <w:r w:rsidRPr="00E61831">
        <w:rPr>
          <w:lang w:val="en-US"/>
        </w:rPr>
        <w:t xml:space="preserve">On 18 July 2022, the </w:t>
      </w:r>
      <w:hyperlink r:id="rId24" w:tooltip="Croatian Mint" w:history="1">
        <w:r w:rsidRPr="00E61831">
          <w:rPr>
            <w:rStyle w:val="Hyperlnk"/>
            <w:lang w:val="en-US"/>
          </w:rPr>
          <w:t>Croatian Mint</w:t>
        </w:r>
      </w:hyperlink>
      <w:r w:rsidRPr="00E61831">
        <w:rPr>
          <w:lang w:val="en-US"/>
        </w:rPr>
        <w:t xml:space="preserve"> began producing euro coins with Croatian national motifs.</w:t>
      </w:r>
      <w:hyperlink r:id="rId25" w:anchor="cite_note-Mint_1-10" w:history="1">
        <w:r>
          <w:rPr>
            <w:rStyle w:val="Hyperlnk"/>
            <w:vertAlign w:val="superscript"/>
          </w:rPr>
          <w:t>[9]</w:t>
        </w:r>
      </w:hyperlink>
      <w:hyperlink r:id="rId26" w:anchor="cite_note-Mint_2-11" w:history="1">
        <w:r>
          <w:rPr>
            <w:rStyle w:val="Hyperlnk"/>
            <w:vertAlign w:val="superscript"/>
          </w:rPr>
          <w:t>[10]</w:t>
        </w:r>
      </w:hyperlink>
      <w:hyperlink r:id="rId27" w:anchor="cite_note-Mint_3-12" w:history="1">
        <w:r>
          <w:rPr>
            <w:rStyle w:val="Hyperlnk"/>
            <w:vertAlign w:val="superscript"/>
          </w:rPr>
          <w:t>[11]</w:t>
        </w:r>
      </w:hyperlink>
      <w:r>
        <w:t xml:space="preserve"> </w:t>
      </w:r>
    </w:p>
    <w:p w14:paraId="45B05669" w14:textId="77777777" w:rsidR="00C611AF" w:rsidRDefault="00C611AF"/>
    <w:sectPr w:rsidR="00C611AF" w:rsidSect="00B16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386"/>
    <w:rsid w:val="0074084A"/>
    <w:rsid w:val="00B16E55"/>
    <w:rsid w:val="00C611AF"/>
    <w:rsid w:val="00E61831"/>
    <w:rsid w:val="00EF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C2E2E6-5263-46B6-8105-C75289B89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E61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nk">
    <w:name w:val="Hyperlink"/>
    <w:basedOn w:val="Standardstycketeckensnitt"/>
    <w:uiPriority w:val="99"/>
    <w:semiHidden/>
    <w:unhideWhenUsed/>
    <w:rsid w:val="00E618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9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roatia_and_the_euro" TargetMode="External"/><Relationship Id="rId13" Type="http://schemas.openxmlformats.org/officeDocument/2006/relationships/hyperlink" Target="https://en.wikipedia.org/wiki/Euro_convergence_criteria" TargetMode="External"/><Relationship Id="rId18" Type="http://schemas.openxmlformats.org/officeDocument/2006/relationships/hyperlink" Target="https://en.wikipedia.org/wiki/Croatia_and_the_euro" TargetMode="External"/><Relationship Id="rId26" Type="http://schemas.openxmlformats.org/officeDocument/2006/relationships/hyperlink" Target="https://en.wikipedia.org/wiki/Croatia_and_the_euro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Croatia_and_the_euro" TargetMode="External"/><Relationship Id="rId7" Type="http://schemas.openxmlformats.org/officeDocument/2006/relationships/hyperlink" Target="https://en.wikipedia.org/wiki/Lithuania_and_the_euro" TargetMode="External"/><Relationship Id="rId12" Type="http://schemas.openxmlformats.org/officeDocument/2006/relationships/hyperlink" Target="https://en.wikipedia.org/wiki/Croatia_and_the_euro" TargetMode="External"/><Relationship Id="rId17" Type="http://schemas.openxmlformats.org/officeDocument/2006/relationships/hyperlink" Target="https://en.wikipedia.org/wiki/European_Exchange_Rate_Mechanism" TargetMode="External"/><Relationship Id="rId25" Type="http://schemas.openxmlformats.org/officeDocument/2006/relationships/hyperlink" Target="https://en.wikipedia.org/wiki/Croatia_and_the_euro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Croatia_and_the_euro" TargetMode="External"/><Relationship Id="rId20" Type="http://schemas.openxmlformats.org/officeDocument/2006/relationships/hyperlink" Target="https://en.wikipedia.org/wiki/Croatia_and_the_euro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Eurozone" TargetMode="External"/><Relationship Id="rId11" Type="http://schemas.openxmlformats.org/officeDocument/2006/relationships/hyperlink" Target="https://en.wikipedia.org/wiki/Croatian_National_Bank" TargetMode="External"/><Relationship Id="rId24" Type="http://schemas.openxmlformats.org/officeDocument/2006/relationships/hyperlink" Target="https://en.wikipedia.org/wiki/Croatian_Mint" TargetMode="External"/><Relationship Id="rId5" Type="http://schemas.openxmlformats.org/officeDocument/2006/relationships/hyperlink" Target="https://en.wikipedia.org/wiki/Euro" TargetMode="External"/><Relationship Id="rId15" Type="http://schemas.openxmlformats.org/officeDocument/2006/relationships/hyperlink" Target="https://en.wikipedia.org/wiki/Boris_Vuj%C4%8Di%C4%87" TargetMode="External"/><Relationship Id="rId23" Type="http://schemas.openxmlformats.org/officeDocument/2006/relationships/hyperlink" Target="https://en.wikipedia.org/wiki/Saving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en.wikipedia.org/wiki/German_mark" TargetMode="External"/><Relationship Id="rId19" Type="http://schemas.openxmlformats.org/officeDocument/2006/relationships/hyperlink" Target="https://en.wikipedia.org/wiki/Andrej_Plenkovi%C4%87" TargetMode="External"/><Relationship Id="rId4" Type="http://schemas.openxmlformats.org/officeDocument/2006/relationships/hyperlink" Target="https://en.wikipedia.org/wiki/Croatia" TargetMode="External"/><Relationship Id="rId9" Type="http://schemas.openxmlformats.org/officeDocument/2006/relationships/hyperlink" Target="https://en.wikipedia.org/wiki/Croatian_kuna" TargetMode="External"/><Relationship Id="rId14" Type="http://schemas.openxmlformats.org/officeDocument/2006/relationships/hyperlink" Target="https://en.wikipedia.org/wiki/Croatia_and_the_euro" TargetMode="External"/><Relationship Id="rId22" Type="http://schemas.openxmlformats.org/officeDocument/2006/relationships/hyperlink" Target="https://en.wikipedia.org/wiki/Croatia_and_the_euro" TargetMode="External"/><Relationship Id="rId27" Type="http://schemas.openxmlformats.org/officeDocument/2006/relationships/hyperlink" Target="https://en.wikipedia.org/wiki/Croatia_and_the_eu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584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Solander</dc:creator>
  <cp:keywords/>
  <dc:description/>
  <cp:lastModifiedBy>Erik Solander</cp:lastModifiedBy>
  <cp:revision>2</cp:revision>
  <dcterms:created xsi:type="dcterms:W3CDTF">2023-01-03T15:41:00Z</dcterms:created>
  <dcterms:modified xsi:type="dcterms:W3CDTF">2023-01-03T15:41:00Z</dcterms:modified>
</cp:coreProperties>
</file>