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pPr>
      <w:r>
        <w:t>TERMO DE REFERÊNCIA – CONSULTOR INDIVIDUAL</w:t>
      </w:r>
    </w:p>
    <w:p>
      <w:pPr/>
    </w:p>
    <w:tbl>
      <w:tblPr>
        <w:tblStyle w:val="Table1"/>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14"/>
        <w:gridCol w:w="4514"/>
      </w:tblGrid>
      <w:tr>
        <w:tc>
          <w:tcPr>
            <w:tcW w:type="dxa" w:w="4514"/>
          </w:tcPr>
          <w:p>
            <w:r/>
            <w:r>
              <w:rPr>
                <w:b/>
              </w:rPr>
              <w:t>Título do Projeto</w:t>
            </w:r>
          </w:p>
        </w:tc>
        <w:tc>
          <w:tcPr>
            <w:tcW w:type="dxa" w:w="4514"/>
          </w:tcPr>
          <w:p>
            <w:r/>
            <w:r>
              <w:rPr>
                <w:b w:val="0"/>
              </w:rPr>
              <w:t>218BRA2001 – Programa de Resiliência Socioambiental nas Áreas de Proteção Ambiental Lago do Amapá e Igarapé São Francisco – SEMA/AC</w:t>
            </w:r>
          </w:p>
        </w:tc>
      </w:tr>
      <w:tr>
        <w:tc>
          <w:tcPr>
            <w:tcW w:type="dxa" w:w="4514"/>
          </w:tcPr>
          <w:p>
            <w:r/>
            <w:r>
              <w:rPr>
                <w:b/>
              </w:rPr>
              <w:t>Enquadramento na Matriz Lógica do Projeto</w:t>
            </w:r>
          </w:p>
        </w:tc>
        <w:tc>
          <w:tcPr>
            <w:tcW w:type="dxa" w:w="4514"/>
          </w:tcPr>
          <w:p>
            <w:r/>
            <w:r>
              <w:rPr>
                <w:b w:val="0"/>
              </w:rPr>
              <w:t>Objetivo Imediato: Fortalecer a resiliência ambiental na APA Lago do Amapá e Igarapé São Francisco, no município de Rio Branco e nos demais municípios da bacia do Rio Acre, com ações de comunicação, visibilidade e prestação de contas do Projeto 218BRA2001.</w:t>
              <w:br/>
              <w:br/>
              <w:t>Resultado Esperado: Ampliar a transparência e a visibilidade pública da execução física e financeira do projeto, por meio da qualificação dos canais digitais de comunicação com a sociedade civil, doadores e instituições parceiras.</w:t>
              <w:br/>
              <w:br/>
              <w:t>Atividade Vinculada: [Comunicação, Visibilidade e Prestação de Contas do Projeto – código a confirmar junto à Matriz Lógica / PRODOC 218BRA2001]</w:t>
            </w:r>
          </w:p>
        </w:tc>
      </w:tr>
      <w:tr>
        <w:tc>
          <w:tcPr>
            <w:tcW w:type="dxa" w:w="4514"/>
          </w:tcPr>
          <w:p>
            <w:r/>
            <w:r>
              <w:rPr>
                <w:b/>
              </w:rPr>
              <w:t>Local de Trabalho</w:t>
            </w:r>
          </w:p>
        </w:tc>
        <w:tc>
          <w:tcPr>
            <w:tcW w:type="dxa" w:w="4514"/>
          </w:tcPr>
          <w:p>
            <w:r/>
            <w:r>
              <w:rPr>
                <w:b w:val="0"/>
              </w:rPr>
              <w:t>Remoto, com interlocução junto à SEMA/AC – Rio Branco/AC</w:t>
            </w:r>
          </w:p>
        </w:tc>
      </w:tr>
      <w:tr>
        <w:tc>
          <w:tcPr>
            <w:tcW w:type="dxa" w:w="4514"/>
          </w:tcPr>
          <w:p>
            <w:r/>
            <w:r>
              <w:rPr>
                <w:b/>
              </w:rPr>
              <w:t>Período do Contrato</w:t>
            </w:r>
          </w:p>
        </w:tc>
        <w:tc>
          <w:tcPr>
            <w:tcW w:type="dxa" w:w="4514"/>
          </w:tcPr>
          <w:p>
            <w:r/>
            <w:r>
              <w:rPr>
                <w:b w:val="0"/>
              </w:rPr>
              <w:t>Início: [A DEFINIR]</w:t>
              <w:br/>
              <w:t>Fim: [A DEFINIR]</w:t>
              <w:br/>
              <w:t>Duração: 4 (quatro) meses</w:t>
            </w:r>
          </w:p>
        </w:tc>
      </w:tr>
      <w:tr>
        <w:tc>
          <w:tcPr>
            <w:tcW w:type="dxa" w:w="4514"/>
          </w:tcPr>
          <w:p>
            <w:r/>
            <w:r>
              <w:rPr>
                <w:b/>
              </w:rPr>
              <w:t>Valor Estimado em Reais</w:t>
            </w:r>
          </w:p>
        </w:tc>
        <w:tc>
          <w:tcPr>
            <w:tcW w:type="dxa" w:w="4514"/>
          </w:tcPr>
          <w:p>
            <w:r/>
            <w:r>
              <w:rPr>
                <w:b w:val="0"/>
              </w:rPr>
              <w:t>R$ 99.000,00 (noventa e nove mil reais)</w:t>
            </w:r>
          </w:p>
        </w:tc>
      </w:tr>
    </w:tbl>
    <w:p>
      <w:pPr/>
    </w:p>
    <w:p>
      <w:pPr>
        <w:pStyle w:val="Heading1"/>
      </w:pPr>
      <w:r>
        <w:t>1. FINALIDADE DA CONTRATAÇÃO</w:t>
      </w:r>
    </w:p>
    <w:p>
      <w:pPr>
        <w:pStyle w:val="Heading2"/>
      </w:pPr>
      <w:r>
        <w:t>a) Objeto da contratação</w:t>
      </w:r>
    </w:p>
    <w:p>
      <w:pPr/>
      <w:r>
        <w:rPr>
          <w:b w:val="0"/>
          <w:i w:val="0"/>
        </w:rPr>
        <w:t>Contratação de consultor(a) individual (pessoa física), com perfil técnico em desenvolvimento de sites e sistemas web e em comunicação de dados socioambientais, para realizar o diagnóstico dos dados disponíveis na Plataforma DIMA (sistema de gestão do Projeto 218BRA2001), projetar a arquitetura de informação e a interface, e desenvolver um site público moderno de divulgação da execução do projeto, em substituição e ampliação da atual página pública, hoje limitada a um mapa de entregas e a um conjunto reduzido de indicadores.</w:t>
      </w:r>
    </w:p>
    <w:p>
      <w:pPr>
        <w:pStyle w:val="Heading2"/>
      </w:pPr>
      <w:r>
        <w:t>b) Contexto da Consultoria</w:t>
      </w:r>
    </w:p>
    <w:p>
      <w:pPr/>
      <w:r>
        <w:rPr>
          <w:b w:val="0"/>
          <w:i w:val="0"/>
        </w:rPr>
        <w:t>A Plataforma DIMA é o sistema de gestão do Projeto 218BRA2001 – Programa de Resiliência Socioambiental nas Áreas de Proteção Ambiental Lago do Amapá e Igarapé São Francisco, executado pela SEMA/AC com recursos do Fundo Brasil-ONU e apoio técnico da UNESCO. O sistema centraliza, em ambiente Supabase (PostgreSQL), a gestão de atividades e suas fases de execução, Termos de Referência (TDRs) e contratos, execução financeira por atividade e fornecedor, produtos técnicos entregues e sua aprovação, viagens e missões de campo, e a matriz de contribuição a indicadores de resultado do projeto.</w:t>
      </w:r>
    </w:p>
    <w:p>
      <w:pPr/>
      <w:r>
        <w:rPr>
          <w:b w:val="0"/>
          <w:i w:val="0"/>
        </w:rPr>
        <w:t>Atualmente, a divulgação pública dessa execução ocorre por meio de uma página simplificada, que apresenta apenas um mapa de entregas e um número reduzido de indicadores, sem aproveitar a profundidade e a estrutura dos dados já organizados na plataforma. A própria plataforma já possui uma Edge Function dedicada à prestação de contas pública (“prestacao-publica”, sem exigência de autenticação), o que evidencia que a camada de dados para um site público mais completo já está tecnicamente disponível, restando qualificar sua arquitetura de informação, o design de interface e a experiência do usuário para os diferentes públicos de interesse do projeto (UNESCO/doadores, gestão pública, sociedade civil e imprensa).</w:t>
      </w:r>
    </w:p>
    <w:p>
      <w:pPr>
        <w:pStyle w:val="Heading2"/>
      </w:pPr>
      <w:r>
        <w:t>c) Motivação e Relevância</w:t>
      </w:r>
    </w:p>
    <w:p>
      <w:pPr/>
      <w:r>
        <w:rPr>
          <w:b w:val="0"/>
          <w:i w:val="0"/>
        </w:rPr>
        <w:t>Projetos financiados por cooperação internacional, como o 218BRA2001, têm na transparência ativa e na prestação de contas pública elementos centrais de accountability perante a UNESCO, o Fundo Brasil-ONU e a sociedade acreana, em consonância com os princípios de transparência ativa previstos na Lei de Acesso à Informação (Lei nº 12.527/2011). Um site público moderno, acessível e visualmente qualificado amplia o alcance da comunicação institucional, fortalece a legitimidade do programa junto a parceiros e potenciais cofinanciadores, e torna tangível para a sociedade civil o impacto de ações como a regularização ambiental, a restauração florestal e a segurança hídrica na bacia do Rio Acre.</w:t>
      </w:r>
    </w:p>
    <w:p>
      <w:pPr/>
      <w:r>
        <w:rPr>
          <w:b w:val="0"/>
          <w:i w:val="0"/>
        </w:rPr>
        <w:t>A relevância da consultoria está também em traduzir, para o público não especializado, dados técnicos de execução física e financeira que hoje residem em tabelas e módulos internos da Plataforma DIMA (atividades, contratos, produtos entregues, indicadores da matriz de resultados), convertendo-os em narrativas visuais claras — mapas interativos, painéis de indicadores e linha do tempo de entregas — que comuniquem, de forma direta, o avanço do projeto.</w:t>
      </w:r>
    </w:p>
    <w:p>
      <w:pPr>
        <w:pStyle w:val="Heading2"/>
      </w:pPr>
      <w:r>
        <w:t>d) Necessidade da Consultoria</w:t>
      </w:r>
    </w:p>
    <w:p>
      <w:pPr/>
      <w:r>
        <w:rPr>
          <w:b w:val="0"/>
          <w:i w:val="0"/>
        </w:rPr>
        <w:t>A equipe técnica e de coordenação do projeto não dispõe de capacidade dedicada em desenvolvimento web e design de interface para estruturar e manter um site público à altura da complexidade dos dados já geridos pela Plataforma DIMA. A página pública atual foi construída de forma pontual, sem arquitetura de informação, identidade visual consolidada ou visualização de dados adequada ao volume de informação disponível nos módulos de atividades, financeiro, produtos, viagens e matriz de indicadores.</w:t>
      </w:r>
    </w:p>
    <w:p>
      <w:pPr/>
      <w:r>
        <w:rPr>
          <w:b w:val="0"/>
          <w:i w:val="0"/>
        </w:rPr>
        <w:t>É necessário, portanto, um profissional especializado para conduzir o diagnóstico dos dados passíveis de publicização, desenhar a solução de interface e desenvolver o site público, reaproveitando o backend Supabase e as Edge Functions já existentes, seguindo os padrões de código já adotados na Plataforma DIMA (HTML5, CSS3 e JavaScript puro) e assegurando responsividade, acessibilidade e desempenho adequados a um canal oficial de comunicação do projeto.</w:t>
      </w:r>
    </w:p>
    <w:p>
      <w:pPr>
        <w:pStyle w:val="Heading1"/>
      </w:pPr>
      <w:r>
        <w:t>2. PRODUTOS A SEREM ENTREGUES E/OU ATIVIDADES</w:t>
      </w:r>
    </w:p>
    <w:p>
      <w:pPr>
        <w:pStyle w:val="Heading2"/>
      </w:pPr>
      <w:r>
        <w:t>Produto 1: Diagnóstico de Dados e Arquitetura de Informação da Plataforma DIMA</w:t>
      </w:r>
    </w:p>
    <w:p>
      <w:pPr/>
      <w:r>
        <w:rPr>
          <w:b w:val="0"/>
          <w:i w:val="0"/>
        </w:rPr>
        <w:t>Atividades:</w:t>
      </w:r>
    </w:p>
    <w:p>
      <w:pPr>
        <w:numPr>
          <w:ilvl w:val="0"/>
          <w:numId w:val="1"/>
        </w:numPr>
        <w:ind w:left="714" w:hanging="357"/>
        <w:jc w:val="both"/>
      </w:pPr>
      <w:r>
        <w:t>Levantamento e análise das fontes de dados passíveis de divulgação pública na Plataforma DIMA (atividades e suas fases de execução, execução financeira agregada por atividade, produtos técnicos aprovados, indicadores da matriz de contribuição, viagens e missões de campo agregadas), com base no schema do banco de dados e nas Edge Functions existentes (ex.: prestacao-publica).</w:t>
      </w:r>
    </w:p>
    <w:p>
      <w:pPr>
        <w:numPr>
          <w:ilvl w:val="0"/>
          <w:numId w:val="1"/>
        </w:numPr>
        <w:ind w:left="714" w:hanging="357"/>
        <w:jc w:val="both"/>
      </w:pPr>
      <w:r>
        <w:t>Definição da arquitetura de informação do site público (mapa do site, hierarquia de conteúdo e jornadas de navegação para os diferentes públicos: UNESCO/doadores, gestão pública, sociedade civil e imprensa).</w:t>
      </w:r>
    </w:p>
    <w:p>
      <w:pPr>
        <w:numPr>
          <w:ilvl w:val="0"/>
          <w:numId w:val="1"/>
        </w:numPr>
        <w:ind w:left="714" w:hanging="357"/>
        <w:jc w:val="both"/>
      </w:pPr>
      <w:r>
        <w:t>Elaboração de documento técnico de diagnóstico e arquitetura de informação, incluindo wireframes de baixa fidelidade das principais páginas (página inicial, mapa de entregas, painel de indicadores, execução financeira, linha do tempo do projeto e página institucional).</w:t>
      </w:r>
    </w:p>
    <w:p>
      <w:pPr>
        <w:pStyle w:val="Heading2"/>
      </w:pPr>
      <w:r>
        <w:t>Produto 2: Design UI/UX e Protótipo Navegável do Site Público</w:t>
      </w:r>
    </w:p>
    <w:p>
      <w:pPr/>
      <w:r>
        <w:rPr>
          <w:b w:val="0"/>
          <w:i w:val="0"/>
        </w:rPr>
        <w:t>Atividades:</w:t>
      </w:r>
    </w:p>
    <w:p>
      <w:pPr>
        <w:numPr>
          <w:ilvl w:val="0"/>
          <w:numId w:val="1"/>
        </w:numPr>
        <w:ind w:left="714" w:hanging="357"/>
        <w:jc w:val="both"/>
      </w:pPr>
      <w:r>
        <w:t>Definição da identidade visual do site (paleta de cores, tipografia, componentes de interface), alinhada às diretrizes de comunicação da UNESCO e da SEMA/AC e aos princípios de acessibilidade digital (WCAG).</w:t>
      </w:r>
    </w:p>
    <w:p>
      <w:pPr>
        <w:numPr>
          <w:ilvl w:val="0"/>
          <w:numId w:val="1"/>
        </w:numPr>
        <w:ind w:left="714" w:hanging="357"/>
        <w:jc w:val="both"/>
      </w:pPr>
      <w:r>
        <w:t>Elaboração de protótipo navegável de alta fidelidade contemplando, no mínimo: página inicial, mapa interativo de entregas, painel de indicadores da matriz de resultados, painel de execução financeira consolidada, linha do tempo do projeto e página “Sobre o Projeto”.</w:t>
      </w:r>
    </w:p>
    <w:p>
      <w:pPr>
        <w:numPr>
          <w:ilvl w:val="0"/>
          <w:numId w:val="1"/>
        </w:numPr>
        <w:ind w:left="714" w:hanging="357"/>
        <w:jc w:val="both"/>
      </w:pPr>
      <w:r>
        <w:t>Validação do protótipo junto à coordenação do projeto, com registro formal dos ajustes solicitados e das versões aprovadas.</w:t>
      </w:r>
    </w:p>
    <w:p>
      <w:pPr>
        <w:pStyle w:val="Heading2"/>
      </w:pPr>
      <w:r>
        <w:t>Produto 3: Desenvolvimento Frontend e Integração com a Plataforma DIMA (Supabase)</w:t>
      </w:r>
    </w:p>
    <w:p>
      <w:pPr/>
      <w:r>
        <w:rPr>
          <w:b w:val="0"/>
          <w:i w:val="0"/>
        </w:rPr>
        <w:t>Atividades:</w:t>
      </w:r>
    </w:p>
    <w:p>
      <w:pPr>
        <w:numPr>
          <w:ilvl w:val="0"/>
          <w:numId w:val="1"/>
        </w:numPr>
        <w:ind w:left="714" w:hanging="357"/>
        <w:jc w:val="both"/>
      </w:pPr>
      <w:r>
        <w:t>Desenvolvimento do site público em HTML5, CSS3 e JavaScript, seguindo os padrões de código já adotados na Plataforma DIMA.</w:t>
      </w:r>
    </w:p>
    <w:p>
      <w:pPr>
        <w:numPr>
          <w:ilvl w:val="0"/>
          <w:numId w:val="1"/>
        </w:numPr>
        <w:ind w:left="714" w:hanging="357"/>
        <w:jc w:val="both"/>
      </w:pPr>
      <w:r>
        <w:t>Integração com o backend Supabase, por meio de consultas públicas controladas por RLS e/ou Edge Functions (ex.: prestacao-publica), para exibição de dados atualizados de execução física e financeira do projeto, sem exposição de dados sensíveis ou pessoais (ex.: dados individuais de fornecedores, valores nominais de contratos com terceiros, dados de usuários do sistema).</w:t>
      </w:r>
    </w:p>
    <w:p>
      <w:pPr>
        <w:numPr>
          <w:ilvl w:val="0"/>
          <w:numId w:val="1"/>
        </w:numPr>
        <w:ind w:left="714" w:hanging="357"/>
        <w:jc w:val="both"/>
      </w:pPr>
      <w:r>
        <w:t>Implementação de visualizações de dados responsivas para desktop e dispositivos móveis (mapa de entregas, gráficos de indicadores, linha do tempo de execução e cartões de indicadores-chave).</w:t>
      </w:r>
    </w:p>
    <w:p>
      <w:pPr>
        <w:pStyle w:val="Heading2"/>
      </w:pPr>
      <w:r>
        <w:t>Produto 4: Testes, Acessibilidade, SEO, Publicação, Documentação e Capacitação</w:t>
      </w:r>
    </w:p>
    <w:p>
      <w:pPr/>
      <w:r>
        <w:rPr>
          <w:b w:val="0"/>
          <w:i w:val="0"/>
        </w:rPr>
        <w:t>Atividades:</w:t>
      </w:r>
    </w:p>
    <w:p>
      <w:pPr>
        <w:numPr>
          <w:ilvl w:val="0"/>
          <w:numId w:val="1"/>
        </w:numPr>
        <w:ind w:left="714" w:hanging="357"/>
        <w:jc w:val="both"/>
      </w:pPr>
      <w:r>
        <w:t>Realização de testes funcionais, de responsividade, de desempenho e de acessibilidade digital (WCAG 2.1, nível AA), com os respectivos ajustes de correção.</w:t>
      </w:r>
    </w:p>
    <w:p>
      <w:pPr>
        <w:numPr>
          <w:ilvl w:val="0"/>
          <w:numId w:val="1"/>
        </w:numPr>
        <w:ind w:left="714" w:hanging="357"/>
        <w:jc w:val="both"/>
      </w:pPr>
      <w:r>
        <w:t>Otimização técnica para mecanismos de busca (SEO técnico, metadados e Open Graph) e publicação do site no ambiente de hospedagem definido pela SEMA/AC, compatível com o padrão já adotado pela Plataforma DIMA (GitHub Pages).</w:t>
      </w:r>
    </w:p>
    <w:p>
      <w:pPr>
        <w:numPr>
          <w:ilvl w:val="0"/>
          <w:numId w:val="1"/>
        </w:numPr>
        <w:ind w:left="714" w:hanging="357"/>
        <w:jc w:val="both"/>
      </w:pPr>
      <w:r>
        <w:t>Elaboração de documentação técnica (estrutura de dados consumidos, instruções de atualização de conteúdo) e realização de sessão de capacitação para a equipe técnica da SEMA/UNESCO responsável pela manutenção básica do site.</w:t>
      </w:r>
    </w:p>
    <w:p>
      <w:pPr>
        <w:pStyle w:val="Heading1"/>
      </w:pPr>
      <w:r>
        <w:t>3. CRONOGRAMA DE EXECUÇÃO E PAGAMENTOS</w:t>
      </w:r>
    </w:p>
    <w:tbl>
      <w:tblPr>
        <w:tblStyle w:val="Table2"/>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10"/>
        <w:gridCol w:w="3010"/>
        <w:gridCol w:w="3010"/>
      </w:tblGrid>
      <w:tr>
        <w:tc>
          <w:tcPr>
            <w:tcW w:type="dxa" w:w="3010"/>
            <w:shd w:val="clear" w:fill="CCCCCC"/>
          </w:tcPr>
          <w:p>
            <w:r/>
            <w:r>
              <w:rPr>
                <w:b/>
              </w:rPr>
              <w:t>Produtos</w:t>
            </w:r>
          </w:p>
        </w:tc>
        <w:tc>
          <w:tcPr>
            <w:tcW w:type="dxa" w:w="3010"/>
            <w:shd w:val="clear" w:fill="CCCCCC"/>
          </w:tcPr>
          <w:p>
            <w:r/>
            <w:r>
              <w:rPr>
                <w:b/>
              </w:rPr>
              <w:t>Data para Entrega (contados a partir da data de assinatura do contrato)</w:t>
            </w:r>
          </w:p>
        </w:tc>
        <w:tc>
          <w:tcPr>
            <w:tcW w:type="dxa" w:w="3010"/>
            <w:shd w:val="clear" w:fill="CCCCCC"/>
          </w:tcPr>
          <w:p>
            <w:r/>
            <w:r>
              <w:rPr>
                <w:b/>
              </w:rPr>
              <w:t>Valor da Parcela</w:t>
            </w:r>
          </w:p>
        </w:tc>
      </w:tr>
      <w:tr>
        <w:tc>
          <w:tcPr>
            <w:tcW w:type="dxa" w:w="3010"/>
          </w:tcPr>
          <w:p>
            <w:r/>
            <w:r>
              <w:rPr>
                <w:b w:val="0"/>
              </w:rPr>
              <w:t>Produto 1</w:t>
            </w:r>
          </w:p>
        </w:tc>
        <w:tc>
          <w:tcPr>
            <w:tcW w:type="dxa" w:w="3010"/>
          </w:tcPr>
          <w:p>
            <w:r/>
            <w:r>
              <w:rPr>
                <w:b w:val="0"/>
              </w:rPr>
              <w:t>30 dias</w:t>
            </w:r>
          </w:p>
        </w:tc>
        <w:tc>
          <w:tcPr>
            <w:tcW w:type="dxa" w:w="3010"/>
          </w:tcPr>
          <w:p>
            <w:r/>
            <w:r>
              <w:rPr>
                <w:b w:val="0"/>
              </w:rPr>
              <w:t>R$ 20.000,00</w:t>
            </w:r>
          </w:p>
        </w:tc>
      </w:tr>
      <w:tr>
        <w:tc>
          <w:tcPr>
            <w:tcW w:type="dxa" w:w="3010"/>
          </w:tcPr>
          <w:p>
            <w:r/>
            <w:r>
              <w:rPr>
                <w:b w:val="0"/>
              </w:rPr>
              <w:t>Produto 2</w:t>
            </w:r>
          </w:p>
        </w:tc>
        <w:tc>
          <w:tcPr>
            <w:tcW w:type="dxa" w:w="3010"/>
          </w:tcPr>
          <w:p>
            <w:r/>
            <w:r>
              <w:rPr>
                <w:b w:val="0"/>
              </w:rPr>
              <w:t>60 dias</w:t>
            </w:r>
          </w:p>
        </w:tc>
        <w:tc>
          <w:tcPr>
            <w:tcW w:type="dxa" w:w="3010"/>
          </w:tcPr>
          <w:p>
            <w:r/>
            <w:r>
              <w:rPr>
                <w:b w:val="0"/>
              </w:rPr>
              <w:t>R$ 22.000,00</w:t>
            </w:r>
          </w:p>
        </w:tc>
      </w:tr>
      <w:tr>
        <w:tc>
          <w:tcPr>
            <w:tcW w:type="dxa" w:w="3010"/>
          </w:tcPr>
          <w:p>
            <w:r/>
            <w:r>
              <w:rPr>
                <w:b w:val="0"/>
              </w:rPr>
              <w:t>Produto 3</w:t>
            </w:r>
          </w:p>
        </w:tc>
        <w:tc>
          <w:tcPr>
            <w:tcW w:type="dxa" w:w="3010"/>
          </w:tcPr>
          <w:p>
            <w:r/>
            <w:r>
              <w:rPr>
                <w:b w:val="0"/>
              </w:rPr>
              <w:t>100 dias</w:t>
            </w:r>
          </w:p>
        </w:tc>
        <w:tc>
          <w:tcPr>
            <w:tcW w:type="dxa" w:w="3010"/>
          </w:tcPr>
          <w:p>
            <w:r/>
            <w:r>
              <w:rPr>
                <w:b w:val="0"/>
              </w:rPr>
              <w:t>R$ 35.000,00</w:t>
            </w:r>
          </w:p>
        </w:tc>
      </w:tr>
      <w:tr>
        <w:tc>
          <w:tcPr>
            <w:tcW w:type="dxa" w:w="3010"/>
          </w:tcPr>
          <w:p>
            <w:r/>
            <w:r>
              <w:rPr>
                <w:b w:val="0"/>
              </w:rPr>
              <w:t>Produto 4</w:t>
            </w:r>
          </w:p>
        </w:tc>
        <w:tc>
          <w:tcPr>
            <w:tcW w:type="dxa" w:w="3010"/>
          </w:tcPr>
          <w:p>
            <w:r/>
            <w:r>
              <w:rPr>
                <w:b w:val="0"/>
              </w:rPr>
              <w:t>120 dias</w:t>
            </w:r>
          </w:p>
        </w:tc>
        <w:tc>
          <w:tcPr>
            <w:tcW w:type="dxa" w:w="3010"/>
          </w:tcPr>
          <w:p>
            <w:r/>
            <w:r>
              <w:rPr>
                <w:b w:val="0"/>
              </w:rPr>
              <w:t>R$ 22.000,00</w:t>
            </w:r>
          </w:p>
        </w:tc>
      </w:tr>
      <w:tr>
        <w:tc>
          <w:tcPr>
            <w:tcW w:type="dxa" w:w="3010"/>
          </w:tcPr>
          <w:p>
            <w:r/>
            <w:r>
              <w:rPr>
                <w:b/>
              </w:rPr>
              <w:t>TOTAL</w:t>
            </w:r>
          </w:p>
        </w:tc>
        <w:tc>
          <w:tcPr>
            <w:tcW w:type="dxa" w:w="3010"/>
          </w:tcPr>
          <w:p>
            <w:r/>
            <w:r>
              <w:rPr>
                <w:b/>
              </w:rPr>
              <w:t>120 dias</w:t>
            </w:r>
          </w:p>
        </w:tc>
        <w:tc>
          <w:tcPr>
            <w:tcW w:type="dxa" w:w="3010"/>
          </w:tcPr>
          <w:p>
            <w:r/>
            <w:r>
              <w:rPr>
                <w:b/>
              </w:rPr>
              <w:t>R$ 99.000,00</w:t>
            </w:r>
          </w:p>
        </w:tc>
      </w:tr>
    </w:tbl>
    <w:p>
      <w:pPr/>
    </w:p>
    <w:p>
      <w:pPr/>
      <w:r>
        <w:rPr>
          <w:b w:val="0"/>
          <w:i w:val="0"/>
        </w:rPr>
        <w:t>O pagamento de cada parcela está condicionado à entrega do respectivo produto e à sua aprovação técnica pela coordenação do Projeto 218BRA2001.</w:t>
      </w:r>
    </w:p>
    <w:p>
      <w:pPr>
        <w:pStyle w:val="Heading1"/>
      </w:pPr>
      <w:r>
        <w:t>4. INSUMOS</w:t>
      </w:r>
    </w:p>
    <w:p>
      <w:pPr/>
      <w:r>
        <w:rPr>
          <w:b w:val="0"/>
          <w:i w:val="0"/>
        </w:rPr>
        <w:t>O consultor terá acesso à documentação técnica da Plataforma DIMA (estrutura de tabelas, enums e Edge Functions), a ambiente de testes/homologação no projeto Supabase (Projeto-SEMA-UNESCO), a diretrizes de comunicação visual da UNESCO e da SEMA/AC, e ao apoio da equipe de coordenação para validação de conteúdo, priorização de indicadores e definição do ambiente de publicação.</w:t>
      </w:r>
    </w:p>
    <w:p>
      <w:pPr>
        <w:pStyle w:val="Heading1"/>
      </w:pPr>
      <w:r>
        <w:t>5. REQUISITOS MÍNIMOS DE QUALIFICAÇÃO</w:t>
      </w:r>
    </w:p>
    <w:p>
      <w:pPr>
        <w:pStyle w:val="Heading2"/>
      </w:pPr>
      <w:r>
        <w:t>Requisitos Mínimos de Qualificação</w:t>
      </w:r>
    </w:p>
    <w:p>
      <w:pPr>
        <w:pStyle w:val="Heading3"/>
      </w:pPr>
      <w:r>
        <w:t>Obrigatórios</w:t>
      </w:r>
    </w:p>
    <w:p>
      <w:pPr>
        <w:numPr>
          <w:ilvl w:val="0"/>
          <w:numId w:val="1"/>
        </w:numPr>
        <w:ind w:left="714" w:hanging="357"/>
        <w:jc w:val="both"/>
      </w:pPr>
      <w:r>
        <w:t>Formação de nível superior completo em Ciência da Computação, Sistemas de Informação, Design, Comunicação Digital ou áreas correlatas, ou experiência profissional comprovada equivalente.</w:t>
      </w:r>
    </w:p>
    <w:p>
      <w:pPr>
        <w:numPr>
          <w:ilvl w:val="0"/>
          <w:numId w:val="1"/>
        </w:numPr>
        <w:ind w:left="714" w:hanging="357"/>
        <w:jc w:val="both"/>
      </w:pPr>
      <w:r>
        <w:t>Experiência profissional mínima de 3 (três) anos em desenvolvimento de sites e/ou aplicações web front-end (HTML5, CSS3, JavaScript), com portfólio comprovável de projetos publicados.</w:t>
      </w:r>
    </w:p>
    <w:p>
      <w:pPr>
        <w:numPr>
          <w:ilvl w:val="0"/>
          <w:numId w:val="1"/>
        </w:numPr>
        <w:ind w:left="714" w:hanging="357"/>
        <w:jc w:val="both"/>
      </w:pPr>
      <w:r>
        <w:t>Experiência comprovada em design de interfaces (UI/UX), incluindo prototipagem e testes de usabilidade.</w:t>
      </w:r>
    </w:p>
    <w:p>
      <w:pPr>
        <w:numPr>
          <w:ilvl w:val="0"/>
          <w:numId w:val="1"/>
        </w:numPr>
        <w:ind w:left="714" w:hanging="357"/>
        <w:jc w:val="both"/>
      </w:pPr>
      <w:r>
        <w:t>Conhecimento em integração de interfaces web com bancos de dados e back-ends (APIs REST, Supabase, Firebase ou similares).</w:t>
      </w:r>
    </w:p>
    <w:p>
      <w:pPr>
        <w:pStyle w:val="Heading3"/>
      </w:pPr>
      <w:r>
        <w:t>Desejáveis</w:t>
      </w:r>
    </w:p>
    <w:p>
      <w:pPr>
        <w:numPr>
          <w:ilvl w:val="0"/>
          <w:numId w:val="1"/>
        </w:numPr>
        <w:ind w:left="714" w:hanging="357"/>
        <w:jc w:val="both"/>
      </w:pPr>
      <w:r>
        <w:t>Experiência prévia em projetos de transparência pública, prestação de contas, dashboards de indicadores ou plataformas de monitoramento socioambiental.</w:t>
      </w:r>
    </w:p>
    <w:p>
      <w:pPr>
        <w:numPr>
          <w:ilvl w:val="0"/>
          <w:numId w:val="1"/>
        </w:numPr>
        <w:ind w:left="714" w:hanging="357"/>
        <w:jc w:val="both"/>
      </w:pPr>
      <w:r>
        <w:t>Conhecimento de temas ambientais (unidades de conservação, regularização ambiental, projetos financiados por organismos internacionais/ONU).</w:t>
      </w:r>
    </w:p>
    <w:p>
      <w:pPr>
        <w:numPr>
          <w:ilvl w:val="0"/>
          <w:numId w:val="1"/>
        </w:numPr>
        <w:ind w:left="714" w:hanging="357"/>
        <w:jc w:val="both"/>
      </w:pPr>
      <w:r>
        <w:t>Familiaridade com Supabase (PostgreSQL, Auth, RLS e Edge Functions em Deno/TypeScript).</w:t>
      </w:r>
    </w:p>
    <w:p>
      <w:pPr>
        <w:numPr>
          <w:ilvl w:val="0"/>
          <w:numId w:val="1"/>
        </w:numPr>
        <w:ind w:left="714" w:hanging="357"/>
        <w:jc w:val="both"/>
      </w:pPr>
      <w:r>
        <w:t>Conhecimento de acessibilidade digital (WCAG) e boas práticas de SEO técnico.</w:t>
      </w:r>
    </w:p>
    <w:p>
      <w:pPr>
        <w:numPr>
          <w:ilvl w:val="0"/>
          <w:numId w:val="1"/>
        </w:numPr>
        <w:ind w:left="714" w:hanging="357"/>
        <w:jc w:val="both"/>
      </w:pPr>
      <w:r>
        <w:t>Conhecimento de inglês e/ou espanhol para eventual adequação de conteúdo a públicos internacionais (UNESCO/ONU).</w:t>
      </w:r>
    </w:p>
    <w:p>
      <w:pPr>
        <w:pStyle w:val="Heading3"/>
      </w:pPr>
      <w:r>
        <w:t>Competências Técnicas e Comportamentais</w:t>
      </w:r>
    </w:p>
    <w:p>
      <w:pPr>
        <w:numPr>
          <w:ilvl w:val="0"/>
          <w:numId w:val="1"/>
        </w:numPr>
        <w:ind w:left="714" w:hanging="357"/>
        <w:jc w:val="both"/>
      </w:pPr>
      <w:r>
        <w:t>Capacidade de traduzir dados técnicos e ambientais complexos em narrativas visuais claras para o público em geral.</w:t>
      </w:r>
    </w:p>
    <w:p>
      <w:pPr>
        <w:numPr>
          <w:ilvl w:val="0"/>
          <w:numId w:val="1"/>
        </w:numPr>
        <w:ind w:left="714" w:hanging="357"/>
        <w:jc w:val="both"/>
      </w:pPr>
      <w:r>
        <w:t>Autonomia, organização e cumprimento de prazos em regime de consultoria remota.</w:t>
      </w:r>
    </w:p>
    <w:p>
      <w:pPr>
        <w:numPr>
          <w:ilvl w:val="0"/>
          <w:numId w:val="1"/>
        </w:numPr>
        <w:ind w:left="714" w:hanging="357"/>
        <w:jc w:val="both"/>
      </w:pPr>
      <w:r>
        <w:t>Boa comunicação com equipes técnicas e com a coordenação institucional do projeto.</w:t>
      </w:r>
    </w:p>
    <w:p>
      <w:pPr>
        <w:numPr>
          <w:ilvl w:val="0"/>
          <w:numId w:val="1"/>
        </w:numPr>
        <w:ind w:left="714" w:hanging="357"/>
        <w:jc w:val="both"/>
      </w:pPr>
      <w:r>
        <w:t>Atenção à precisão dos dados exibidos publicamente e ao sigilo de informações sensíveis ou pessoais.</w:t>
      </w:r>
    </w:p>
    <w:p>
      <w:pPr>
        <w:pStyle w:val="Heading1"/>
      </w:pPr>
      <w:r>
        <w:t>6. LOCAL DE TRABALHO</w:t>
      </w:r>
    </w:p>
    <w:p>
      <w:pPr/>
      <w:r>
        <w:rPr>
          <w:b w:val="0"/>
          <w:i w:val="0"/>
        </w:rPr>
        <w:t>Trabalho remoto, com interlocução periódica (presencial ou virtual) com a equipe da SEMA/AC, em Rio Branco/AC, conforme necessidade da coordenação do projeto.</w:t>
      </w:r>
    </w:p>
    <w:p>
      <w:pPr>
        <w:pStyle w:val="Heading1"/>
      </w:pPr>
      <w:r>
        <w:t>7. TABELA DE CRITÉRIOS DE AVALIAÇÃO (Modelo Consolidado – 4 Critérios)</w:t>
      </w:r>
    </w:p>
    <w:p>
      <w:pPr/>
      <w:r>
        <w:rPr>
          <w:b w:val="0"/>
          <w:i w:val="0"/>
        </w:rPr>
        <w:t>O processo de seleção do(a) Consultor(a) Individual será conduzido em duas etapas:</w:t>
      </w:r>
    </w:p>
    <w:p>
      <w:pPr>
        <w:numPr>
          <w:ilvl w:val="0"/>
          <w:numId w:val="1"/>
        </w:numPr>
        <w:ind w:left="714" w:hanging="357"/>
        <w:jc w:val="both"/>
      </w:pPr>
      <w:r>
        <w:t>Triagem curricular e verificação documental;</w:t>
      </w:r>
    </w:p>
    <w:p>
      <w:pPr>
        <w:numPr>
          <w:ilvl w:val="0"/>
          <w:numId w:val="1"/>
        </w:numPr>
        <w:ind w:left="714" w:hanging="357"/>
        <w:jc w:val="both"/>
      </w:pPr>
      <w:r>
        <w:t>Avaliação técnica e de experiência profissional, com pontuação conforme os critérios a seguir.</w:t>
      </w:r>
    </w:p>
    <w:p>
      <w:pPr/>
      <w:r>
        <w:rPr>
          <w:b w:val="0"/>
          <w:i w:val="0"/>
        </w:rPr>
        <w:t>Serão aceitos apenas documentos comprobatórios oficiais, tais como diplomas, certificados, declarações institucionais, contratos, portfólio de projetos publicados ou relatórios técnicos assinados.</w:t>
      </w:r>
    </w:p>
    <w:tbl>
      <w:tblPr>
        <w:tblStyle w:val="Table3"/>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7"/>
        <w:gridCol w:w="2257"/>
        <w:gridCol w:w="2257"/>
        <w:gridCol w:w="2257"/>
      </w:tblGrid>
      <w:tr>
        <w:tc>
          <w:tcPr>
            <w:tcW w:type="dxa" w:w="2257"/>
            <w:shd w:val="clear" w:fill="CCCCCC"/>
          </w:tcPr>
          <w:p>
            <w:r/>
            <w:r>
              <w:rPr>
                <w:b/>
              </w:rPr>
              <w:t>Item</w:t>
            </w:r>
          </w:p>
        </w:tc>
        <w:tc>
          <w:tcPr>
            <w:tcW w:type="dxa" w:w="2257"/>
            <w:shd w:val="clear" w:fill="CCCCCC"/>
          </w:tcPr>
          <w:p>
            <w:r/>
            <w:r>
              <w:rPr>
                <w:b/>
              </w:rPr>
              <w:t>Critério de Avaliação</w:t>
            </w:r>
          </w:p>
        </w:tc>
        <w:tc>
          <w:tcPr>
            <w:tcW w:type="dxa" w:w="2257"/>
            <w:shd w:val="clear" w:fill="CCCCCC"/>
          </w:tcPr>
          <w:p>
            <w:r/>
            <w:r>
              <w:rPr>
                <w:b/>
              </w:rPr>
              <w:t>Descrição e Forma de Comprovação</w:t>
            </w:r>
          </w:p>
        </w:tc>
        <w:tc>
          <w:tcPr>
            <w:tcW w:type="dxa" w:w="2257"/>
            <w:shd w:val="clear" w:fill="CCCCCC"/>
          </w:tcPr>
          <w:p>
            <w:r/>
            <w:r>
              <w:rPr>
                <w:b/>
              </w:rPr>
              <w:t>Pontuação Máxima</w:t>
            </w:r>
          </w:p>
        </w:tc>
      </w:tr>
      <w:tr>
        <w:tc>
          <w:tcPr>
            <w:tcW w:type="dxa" w:w="2257"/>
          </w:tcPr>
          <w:p>
            <w:r/>
            <w:r>
              <w:rPr>
                <w:b w:val="0"/>
              </w:rPr>
              <w:t>1</w:t>
            </w:r>
          </w:p>
        </w:tc>
        <w:tc>
          <w:tcPr>
            <w:tcW w:type="dxa" w:w="2257"/>
          </w:tcPr>
          <w:p>
            <w:r/>
            <w:r>
              <w:rPr>
                <w:b w:val="0"/>
              </w:rPr>
              <w:t>Formação Acadêmica</w:t>
            </w:r>
          </w:p>
        </w:tc>
        <w:tc>
          <w:tcPr>
            <w:tcW w:type="dxa" w:w="2257"/>
          </w:tcPr>
          <w:p>
            <w:r/>
            <w:r>
              <w:rPr>
                <w:b w:val="0"/>
              </w:rPr>
              <w:t>Curso superior completo em Tecnologia, Design, Comunicação Digital ou áreas correlatas.</w:t>
            </w:r>
          </w:p>
        </w:tc>
        <w:tc>
          <w:tcPr>
            <w:tcW w:type="dxa" w:w="2257"/>
          </w:tcPr>
          <w:p>
            <w:r/>
            <w:r>
              <w:rPr>
                <w:b w:val="0"/>
              </w:rPr>
              <w:t>20 pontos</w:t>
            </w:r>
          </w:p>
        </w:tc>
      </w:tr>
      <w:tr>
        <w:tc>
          <w:tcPr>
            <w:tcW w:type="dxa" w:w="2257"/>
          </w:tcPr>
          <w:p>
            <w:r/>
            <w:r>
              <w:rPr>
                <w:b w:val="0"/>
              </w:rPr>
              <w:t>2</w:t>
            </w:r>
          </w:p>
        </w:tc>
        <w:tc>
          <w:tcPr>
            <w:tcW w:type="dxa" w:w="2257"/>
          </w:tcPr>
          <w:p>
            <w:r/>
            <w:r>
              <w:rPr>
                <w:b w:val="0"/>
              </w:rPr>
              <w:t>Experiência Profissional em Desenvolvimento Web e UI/UX</w:t>
            </w:r>
          </w:p>
        </w:tc>
        <w:tc>
          <w:tcPr>
            <w:tcW w:type="dxa" w:w="2257"/>
          </w:tcPr>
          <w:p>
            <w:r/>
            <w:r>
              <w:rPr>
                <w:b w:val="0"/>
              </w:rPr>
              <w:t>Portfólio comprovado de sites e/ou aplicações desenvolvidas, com ênfase em design de interface e experiência do usuário, comprovado por links, contratos ou declarações.</w:t>
            </w:r>
          </w:p>
        </w:tc>
        <w:tc>
          <w:tcPr>
            <w:tcW w:type="dxa" w:w="2257"/>
          </w:tcPr>
          <w:p>
            <w:r/>
            <w:r>
              <w:rPr>
                <w:b w:val="0"/>
              </w:rPr>
              <w:t>30 pontos</w:t>
            </w:r>
          </w:p>
        </w:tc>
      </w:tr>
      <w:tr>
        <w:tc>
          <w:tcPr>
            <w:tcW w:type="dxa" w:w="2257"/>
          </w:tcPr>
          <w:p>
            <w:r/>
            <w:r>
              <w:rPr>
                <w:b w:val="0"/>
              </w:rPr>
              <w:t>3</w:t>
            </w:r>
          </w:p>
        </w:tc>
        <w:tc>
          <w:tcPr>
            <w:tcW w:type="dxa" w:w="2257"/>
          </w:tcPr>
          <w:p>
            <w:r/>
            <w:r>
              <w:rPr>
                <w:b w:val="0"/>
              </w:rPr>
              <w:t>Experiência com Dados, Transparência e Projetos Socioambientais</w:t>
            </w:r>
          </w:p>
        </w:tc>
        <w:tc>
          <w:tcPr>
            <w:tcW w:type="dxa" w:w="2257"/>
          </w:tcPr>
          <w:p>
            <w:r/>
            <w:r>
              <w:rPr>
                <w:b w:val="0"/>
              </w:rPr>
              <w:t>Atuação comprovada em projetos de visualização de dados, dashboards, prestação de contas pública ou projetos ambientais/de cooperação internacional, demonstrada por declarações institucionais, contratos ou prestação de serviço.</w:t>
            </w:r>
          </w:p>
        </w:tc>
        <w:tc>
          <w:tcPr>
            <w:tcW w:type="dxa" w:w="2257"/>
          </w:tcPr>
          <w:p>
            <w:r/>
            <w:r>
              <w:rPr>
                <w:b w:val="0"/>
              </w:rPr>
              <w:t>30 pontos</w:t>
            </w:r>
          </w:p>
        </w:tc>
      </w:tr>
      <w:tr>
        <w:tc>
          <w:tcPr>
            <w:tcW w:type="dxa" w:w="2257"/>
          </w:tcPr>
          <w:p>
            <w:r/>
            <w:r>
              <w:rPr>
                <w:b w:val="0"/>
              </w:rPr>
              <w:t>4</w:t>
            </w:r>
          </w:p>
        </w:tc>
        <w:tc>
          <w:tcPr>
            <w:tcW w:type="dxa" w:w="2257"/>
          </w:tcPr>
          <w:p>
            <w:r/>
            <w:r>
              <w:rPr>
                <w:b w:val="0"/>
              </w:rPr>
              <w:t>Titulação Complementar e Certificações</w:t>
            </w:r>
          </w:p>
        </w:tc>
        <w:tc>
          <w:tcPr>
            <w:tcW w:type="dxa" w:w="2257"/>
          </w:tcPr>
          <w:p>
            <w:r/>
            <w:r>
              <w:rPr>
                <w:b w:val="0"/>
              </w:rPr>
              <w:t>Certificados emitidos por instituição reconhecida, em áreas correlatas a desenvolvimento web, UX/UI ou acessibilidade digital.</w:t>
              <w:br/>
              <w:t>• Certificação/curso (1) – Mínimo 5 pts</w:t>
              <w:br/>
              <w:t>• Certificações (2 ou mais) – Máximo 10 pts</w:t>
              <w:br/>
              <w:t>• Pós-graduação na área – 20 pts</w:t>
            </w:r>
          </w:p>
        </w:tc>
        <w:tc>
          <w:tcPr>
            <w:tcW w:type="dxa" w:w="2257"/>
          </w:tcPr>
          <w:p>
            <w:r/>
            <w:r>
              <w:rPr>
                <w:b w:val="0"/>
              </w:rPr>
              <w:t>20 pontos</w:t>
            </w:r>
          </w:p>
        </w:tc>
      </w:tr>
      <w:tr>
        <w:tc>
          <w:tcPr>
            <w:tcW w:type="dxa" w:w="2257"/>
          </w:tcPr>
          <w:p>
            <w:r/>
            <w:r>
              <w:rPr>
                <w:b/>
              </w:rPr>
              <w:t>TOTAL</w:t>
            </w:r>
          </w:p>
        </w:tc>
        <w:tc>
          <w:tcPr>
            <w:tcW w:type="dxa" w:w="2257"/>
          </w:tcPr>
          <w:p>
            <w:r/>
            <w:r>
              <w:rPr>
                <w:b/>
              </w:rPr>
            </w:r>
          </w:p>
        </w:tc>
        <w:tc>
          <w:tcPr>
            <w:tcW w:type="dxa" w:w="2257"/>
          </w:tcPr>
          <w:p>
            <w:r/>
            <w:r>
              <w:rPr>
                <w:b/>
              </w:rPr>
            </w:r>
          </w:p>
        </w:tc>
        <w:tc>
          <w:tcPr>
            <w:tcW w:type="dxa" w:w="2257"/>
          </w:tcPr>
          <w:p>
            <w:r/>
            <w:r>
              <w:rPr>
                <w:b/>
              </w:rPr>
              <w:t>100 pontos</w:t>
            </w:r>
          </w:p>
        </w:tc>
      </w:tr>
    </w:tbl>
    <w:p>
      <w:pPr/>
    </w:p>
    <w:p>
      <w:pPr>
        <w:pStyle w:val="Heading1"/>
      </w:pPr>
      <w:r>
        <w:t>Anexo I – Modelos de Relatórios Técnicos Parciais e Final</w:t>
      </w:r>
    </w:p>
    <w:p>
      <w:pPr/>
      <w:r>
        <w:rPr>
          <w:b w:val="0"/>
          <w:i w:val="0"/>
        </w:rPr>
        <w:t>Os relatórios técnicos parciais e final, resultantes dos produtos descritos acima, deverão possuir, ao menos, a seguinte estrutura:</w:t>
      </w:r>
    </w:p>
    <w:p>
      <w:pPr>
        <w:numPr>
          <w:ilvl w:val="0"/>
          <w:numId w:val="1"/>
        </w:numPr>
        <w:ind w:left="714" w:hanging="357"/>
        <w:jc w:val="both"/>
      </w:pPr>
      <w:r>
        <w:t>Introdução</w:t>
      </w:r>
    </w:p>
    <w:p>
      <w:pPr>
        <w:numPr>
          <w:ilvl w:val="0"/>
          <w:numId w:val="1"/>
        </w:numPr>
        <w:ind w:left="714" w:hanging="357"/>
        <w:jc w:val="both"/>
      </w:pPr>
      <w:r>
        <w:t>Objetivos gerais e específicos</w:t>
      </w:r>
    </w:p>
    <w:p>
      <w:pPr>
        <w:numPr>
          <w:ilvl w:val="0"/>
          <w:numId w:val="1"/>
        </w:numPr>
        <w:ind w:left="714" w:hanging="357"/>
        <w:jc w:val="both"/>
      </w:pPr>
      <w:r>
        <w:t>Metodologia</w:t>
      </w:r>
    </w:p>
    <w:p>
      <w:pPr>
        <w:numPr>
          <w:ilvl w:val="0"/>
          <w:numId w:val="1"/>
        </w:numPr>
        <w:ind w:left="714" w:hanging="357"/>
        <w:jc w:val="both"/>
      </w:pPr>
      <w:r>
        <w:t>Levantamento realizado/atividades executadas</w:t>
      </w:r>
    </w:p>
    <w:p>
      <w:pPr>
        <w:numPr>
          <w:ilvl w:val="0"/>
          <w:numId w:val="1"/>
        </w:numPr>
        <w:ind w:left="714" w:hanging="357"/>
        <w:jc w:val="both"/>
      </w:pPr>
      <w:r>
        <w:t>Análise e discussão</w:t>
      </w:r>
    </w:p>
    <w:p>
      <w:pPr>
        <w:numPr>
          <w:ilvl w:val="0"/>
          <w:numId w:val="1"/>
        </w:numPr>
        <w:ind w:left="714" w:hanging="357"/>
        <w:jc w:val="both"/>
      </w:pPr>
      <w:r>
        <w:t>Considerações finais/Conclusão</w:t>
      </w:r>
    </w:p>
    <w:p>
      <w:pPr>
        <w:numPr>
          <w:ilvl w:val="0"/>
          <w:numId w:val="1"/>
        </w:numPr>
        <w:ind w:left="714" w:hanging="357"/>
        <w:jc w:val="both"/>
      </w:pPr>
      <w:r>
        <w:t>Anexos/apêndices</w:t>
      </w:r>
    </w:p>
    <w:p>
      <w:pPr/>
      <w:r>
        <w:rPr>
          <w:b w:val="0"/>
          <w:i w:val="0"/>
        </w:rPr>
        <w:t>Os relatórios deverão ser escritos seguindo as regras padrão da ABNT.</w:t>
      </w:r>
    </w:p>
    <w:sectPr>
      <w:head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spacing w:after="240" w:before="240" w:lineRule="auto"/>
      <w:jc w:val="right"/>
      <w:rPr/>
    </w:pPr>
    <w:r w:rsidDel="00000000" w:rsidR="00000000" w:rsidRPr="00000000">
      <w:rPr>
        <w:sz w:val="20"/>
        <w:szCs w:val="20"/>
        <w:rtl w:val="0"/>
      </w:rPr>
      <w:t>TDR – Comunicação e Visibilidade [Nº A DEFINIR]</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lowerRoman"/>
      <w:lvlText w:val="(%1)"/>
      <w:lvlJc w:val="left"/>
      <w:pPr>
        <w:ind w:left="780" w:hanging="720"/>
      </w:pPr>
      <w:rPr>
        <w:b w:val="1"/>
        <w:bCs w:val="1"/>
      </w:rPr>
    </w:lvl>
    <w:lvl w:ilvl="1">
      <w:start w:val="1"/>
      <w:numFmt w:val="lowerLetter"/>
      <w:lvlText w:val="%2."/>
      <w:lvlJc w:val="left"/>
      <w:pPr>
        <w:ind w:left="1140" w:hanging="360"/>
      </w:pPr>
      <w:rPr/>
    </w:lvl>
    <w:lvl w:ilvl="2">
      <w:start w:val="1"/>
      <w:numFmt w:val="lowerRoman"/>
      <w:lvlText w:val="%3."/>
      <w:lvlJc w:val="right"/>
      <w:pPr>
        <w:ind w:left="1860" w:hanging="180"/>
      </w:pPr>
      <w:rPr/>
    </w:lvl>
    <w:lvl w:ilvl="3">
      <w:start w:val="1"/>
      <w:numFmt w:val="decimal"/>
      <w:lvlText w:val="%4."/>
      <w:lvlJc w:val="left"/>
      <w:pPr>
        <w:ind w:left="2580" w:hanging="360"/>
      </w:pPr>
      <w:rPr/>
    </w:lvl>
    <w:lvl w:ilvl="4">
      <w:start w:val="1"/>
      <w:numFmt w:val="lowerLetter"/>
      <w:lvlText w:val="%5."/>
      <w:lvlJc w:val="left"/>
      <w:pPr>
        <w:ind w:left="3300" w:hanging="360"/>
      </w:pPr>
      <w:rPr/>
    </w:lvl>
    <w:lvl w:ilvl="5">
      <w:start w:val="1"/>
      <w:numFmt w:val="lowerRoman"/>
      <w:lvlText w:val="%6."/>
      <w:lvlJc w:val="right"/>
      <w:pPr>
        <w:ind w:left="4020" w:hanging="180"/>
      </w:pPr>
      <w:rPr/>
    </w:lvl>
    <w:lvl w:ilvl="6">
      <w:start w:val="1"/>
      <w:numFmt w:val="decimal"/>
      <w:lvlText w:val="%7."/>
      <w:lvlJc w:val="left"/>
      <w:pPr>
        <w:ind w:left="4740" w:hanging="360"/>
      </w:pPr>
      <w:rPr/>
    </w:lvl>
    <w:lvl w:ilvl="7">
      <w:start w:val="1"/>
      <w:numFmt w:val="lowerLetter"/>
      <w:lvlText w:val="%8."/>
      <w:lvlJc w:val="left"/>
      <w:pPr>
        <w:ind w:left="5460" w:hanging="360"/>
      </w:pPr>
      <w:rPr/>
    </w:lvl>
    <w:lvl w:ilvl="8">
      <w:start w:val="1"/>
      <w:numFmt w:val="lowerRoman"/>
      <w:lvlText w:val="%9."/>
      <w:lvlJc w:val="right"/>
      <w:pPr>
        <w:ind w:left="6180" w:hanging="180"/>
      </w:pPr>
      <w:rPr/>
    </w:lvl>
  </w:abstractNum>
  <w:abstractNum w:abstractNumId="4">
    <w:lvl w:ilvl="0">
      <w:start w:val="2"/>
      <w:numFmt w:val="decimal"/>
      <w:lvlText w:val="%1"/>
      <w:lvlJc w:val="left"/>
      <w:pPr>
        <w:ind w:left="360" w:hanging="360"/>
      </w:pPr>
      <w:rPr/>
    </w:lvl>
    <w:lvl w:ilvl="1">
      <w:start w:val="1"/>
      <w:numFmt w:val="decimal"/>
      <w:lvlText w:val="%1.%2"/>
      <w:lvlJc w:val="left"/>
      <w:pPr>
        <w:ind w:left="786" w:hanging="360.00000000000006"/>
      </w:pPr>
      <w:rPr/>
    </w:lvl>
    <w:lvl w:ilvl="2">
      <w:start w:val="1"/>
      <w:numFmt w:val="decimal"/>
      <w:lvlText w:val="%1.%2.%3"/>
      <w:lvlJc w:val="left"/>
      <w:pPr>
        <w:ind w:left="1572" w:hanging="720.0000000000001"/>
      </w:pPr>
      <w:rPr/>
    </w:lvl>
    <w:lvl w:ilvl="3">
      <w:start w:val="1"/>
      <w:numFmt w:val="decimal"/>
      <w:lvlText w:val="%1.%2.%3.%4"/>
      <w:lvlJc w:val="left"/>
      <w:pPr>
        <w:ind w:left="1998" w:hanging="720"/>
      </w:pPr>
      <w:rPr/>
    </w:lvl>
    <w:lvl w:ilvl="4">
      <w:start w:val="1"/>
      <w:numFmt w:val="decimal"/>
      <w:lvlText w:val="%1.%2.%3.%4.%5"/>
      <w:lvlJc w:val="left"/>
      <w:pPr>
        <w:ind w:left="2784" w:hanging="1080.0000000000002"/>
      </w:pPr>
      <w:rPr/>
    </w:lvl>
    <w:lvl w:ilvl="5">
      <w:start w:val="1"/>
      <w:numFmt w:val="decimal"/>
      <w:lvlText w:val="%1.%2.%3.%4.%5.%6"/>
      <w:lvlJc w:val="left"/>
      <w:pPr>
        <w:ind w:left="3210" w:hanging="1080"/>
      </w:pPr>
      <w:rPr/>
    </w:lvl>
    <w:lvl w:ilvl="6">
      <w:start w:val="1"/>
      <w:numFmt w:val="decimal"/>
      <w:lvlText w:val="%1.%2.%3.%4.%5.%6.%7"/>
      <w:lvlJc w:val="left"/>
      <w:pPr>
        <w:ind w:left="3996" w:hanging="1440"/>
      </w:pPr>
      <w:rPr/>
    </w:lvl>
    <w:lvl w:ilvl="7">
      <w:start w:val="1"/>
      <w:numFmt w:val="decimal"/>
      <w:lvlText w:val="%1.%2.%3.%4.%5.%6.%7.%8"/>
      <w:lvlJc w:val="left"/>
      <w:pPr>
        <w:ind w:left="4422" w:hanging="1440"/>
      </w:pPr>
      <w:rPr/>
    </w:lvl>
    <w:lvl w:ilvl="8">
      <w:start w:val="1"/>
      <w:numFmt w:val="decimal"/>
      <w:lvlText w:val="%1.%2.%3.%4.%5.%6.%7.%8.%9"/>
      <w:lvlJc w:val="left"/>
      <w:pPr>
        <w:ind w:left="5208" w:hanging="1800.0000000000005"/>
      </w:pPr>
      <w:rPr/>
    </w:lvl>
  </w:abstractNum>
  <w:abstractNum w:abstractNumId="5">
    <w:lvl w:ilvl="0">
      <w:start w:val="1"/>
      <w:numFmt w:val="decimal"/>
      <w:lvlText w:val="%1"/>
      <w:lvlJc w:val="left"/>
      <w:pPr>
        <w:ind w:left="360" w:hanging="360"/>
      </w:pPr>
      <w:rPr/>
    </w:lvl>
    <w:lvl w:ilvl="1">
      <w:start w:val="1"/>
      <w:numFmt w:val="decimal"/>
      <w:lvlText w:val="%1.%2"/>
      <w:lvlJc w:val="left"/>
      <w:pPr>
        <w:ind w:left="786" w:hanging="360.00000000000006"/>
      </w:pPr>
      <w:rPr/>
    </w:lvl>
    <w:lvl w:ilvl="2">
      <w:start w:val="1"/>
      <w:numFmt w:val="decimal"/>
      <w:lvlText w:val="%1.%2.%3"/>
      <w:lvlJc w:val="left"/>
      <w:pPr>
        <w:ind w:left="1572" w:hanging="720.0000000000001"/>
      </w:pPr>
      <w:rPr/>
    </w:lvl>
    <w:lvl w:ilvl="3">
      <w:start w:val="1"/>
      <w:numFmt w:val="decimal"/>
      <w:lvlText w:val="%1.%2.%3.%4"/>
      <w:lvlJc w:val="left"/>
      <w:pPr>
        <w:ind w:left="1998" w:hanging="720"/>
      </w:pPr>
      <w:rPr/>
    </w:lvl>
    <w:lvl w:ilvl="4">
      <w:start w:val="1"/>
      <w:numFmt w:val="decimal"/>
      <w:lvlText w:val="%1.%2.%3.%4.%5"/>
      <w:lvlJc w:val="left"/>
      <w:pPr>
        <w:ind w:left="2784" w:hanging="1080.0000000000002"/>
      </w:pPr>
      <w:rPr/>
    </w:lvl>
    <w:lvl w:ilvl="5">
      <w:start w:val="1"/>
      <w:numFmt w:val="decimal"/>
      <w:lvlText w:val="%1.%2.%3.%4.%5.%6"/>
      <w:lvlJc w:val="left"/>
      <w:pPr>
        <w:ind w:left="3210" w:hanging="1080"/>
      </w:pPr>
      <w:rPr/>
    </w:lvl>
    <w:lvl w:ilvl="6">
      <w:start w:val="1"/>
      <w:numFmt w:val="decimal"/>
      <w:lvlText w:val="%1.%2.%3.%4.%5.%6.%7"/>
      <w:lvlJc w:val="left"/>
      <w:pPr>
        <w:ind w:left="3996" w:hanging="1440"/>
      </w:pPr>
      <w:rPr/>
    </w:lvl>
    <w:lvl w:ilvl="7">
      <w:start w:val="1"/>
      <w:numFmt w:val="decimal"/>
      <w:lvlText w:val="%1.%2.%3.%4.%5.%6.%7.%8"/>
      <w:lvlJc w:val="left"/>
      <w:pPr>
        <w:ind w:left="4422" w:hanging="1440"/>
      </w:pPr>
      <w:rPr/>
    </w:lvl>
    <w:lvl w:ilvl="8">
      <w:start w:val="1"/>
      <w:numFmt w:val="decimal"/>
      <w:lvlText w:val="%1.%2.%3.%4.%5.%6.%7.%8.%9"/>
      <w:lvlJc w:val="left"/>
      <w:pPr>
        <w:ind w:left="5208" w:hanging="1800.0000000000005"/>
      </w:pPr>
      <w:rPr/>
    </w:lvl>
  </w:abstractNum>
  <w:abstractNum w:abstractNumId="6">
    <w:lvl w:ilvl="0">
      <w:start w:val="3"/>
      <w:numFmt w:val="decimal"/>
      <w:lvlText w:val="%1"/>
      <w:lvlJc w:val="left"/>
      <w:pPr>
        <w:ind w:left="360" w:hanging="360"/>
      </w:pPr>
      <w:rPr/>
    </w:lvl>
    <w:lvl w:ilvl="1">
      <w:start w:val="1"/>
      <w:numFmt w:val="decimal"/>
      <w:lvlText w:val="%1.%2"/>
      <w:lvlJc w:val="left"/>
      <w:pPr>
        <w:ind w:left="786" w:hanging="360.00000000000006"/>
      </w:pPr>
      <w:rPr/>
    </w:lvl>
    <w:lvl w:ilvl="2">
      <w:start w:val="1"/>
      <w:numFmt w:val="decimal"/>
      <w:lvlText w:val="%1.%2.%3"/>
      <w:lvlJc w:val="left"/>
      <w:pPr>
        <w:ind w:left="1572" w:hanging="720.0000000000001"/>
      </w:pPr>
      <w:rPr/>
    </w:lvl>
    <w:lvl w:ilvl="3">
      <w:start w:val="1"/>
      <w:numFmt w:val="decimal"/>
      <w:lvlText w:val="%1.%2.%3.%4"/>
      <w:lvlJc w:val="left"/>
      <w:pPr>
        <w:ind w:left="1998" w:hanging="720"/>
      </w:pPr>
      <w:rPr/>
    </w:lvl>
    <w:lvl w:ilvl="4">
      <w:start w:val="1"/>
      <w:numFmt w:val="decimal"/>
      <w:lvlText w:val="%1.%2.%3.%4.%5"/>
      <w:lvlJc w:val="left"/>
      <w:pPr>
        <w:ind w:left="2784" w:hanging="1080.0000000000002"/>
      </w:pPr>
      <w:rPr/>
    </w:lvl>
    <w:lvl w:ilvl="5">
      <w:start w:val="1"/>
      <w:numFmt w:val="decimal"/>
      <w:lvlText w:val="%1.%2.%3.%4.%5.%6"/>
      <w:lvlJc w:val="left"/>
      <w:pPr>
        <w:ind w:left="3210" w:hanging="1080"/>
      </w:pPr>
      <w:rPr/>
    </w:lvl>
    <w:lvl w:ilvl="6">
      <w:start w:val="1"/>
      <w:numFmt w:val="decimal"/>
      <w:lvlText w:val="%1.%2.%3.%4.%5.%6.%7"/>
      <w:lvlJc w:val="left"/>
      <w:pPr>
        <w:ind w:left="3996" w:hanging="1440"/>
      </w:pPr>
      <w:rPr/>
    </w:lvl>
    <w:lvl w:ilvl="7">
      <w:start w:val="1"/>
      <w:numFmt w:val="decimal"/>
      <w:lvlText w:val="%1.%2.%3.%4.%5.%6.%7.%8"/>
      <w:lvlJc w:val="left"/>
      <w:pPr>
        <w:ind w:left="4422" w:hanging="1440"/>
      </w:pPr>
      <w:rPr/>
    </w:lvl>
    <w:lvl w:ilvl="8">
      <w:start w:val="1"/>
      <w:numFmt w:val="decimal"/>
      <w:lvlText w:val="%1.%2.%3.%4.%5.%6.%7.%8.%9"/>
      <w:lvlJc w:val="left"/>
      <w:pPr>
        <w:ind w:left="5208" w:hanging="1800.0000000000005"/>
      </w:pPr>
      <w:rPr/>
    </w:lvl>
  </w:abstractNum>
  <w:abstractNum w:abstractNumId="7">
    <w:lvl w:ilvl="0">
      <w:start w:val="4"/>
      <w:numFmt w:val="decimal"/>
      <w:lvlText w:val="%1"/>
      <w:lvlJc w:val="left"/>
      <w:pPr>
        <w:ind w:left="360" w:hanging="360"/>
      </w:pPr>
      <w:rPr/>
    </w:lvl>
    <w:lvl w:ilvl="1">
      <w:start w:val="1"/>
      <w:numFmt w:val="decimal"/>
      <w:lvlText w:val="%1.%2"/>
      <w:lvlJc w:val="left"/>
      <w:pPr>
        <w:ind w:left="786" w:hanging="360.00000000000006"/>
      </w:pPr>
      <w:rPr/>
    </w:lvl>
    <w:lvl w:ilvl="2">
      <w:start w:val="1"/>
      <w:numFmt w:val="decimal"/>
      <w:lvlText w:val="%1.%2.%3"/>
      <w:lvlJc w:val="left"/>
      <w:pPr>
        <w:ind w:left="1572" w:hanging="720.0000000000001"/>
      </w:pPr>
      <w:rPr/>
    </w:lvl>
    <w:lvl w:ilvl="3">
      <w:start w:val="1"/>
      <w:numFmt w:val="decimal"/>
      <w:lvlText w:val="%1.%2.%3.%4"/>
      <w:lvlJc w:val="left"/>
      <w:pPr>
        <w:ind w:left="1998" w:hanging="720"/>
      </w:pPr>
      <w:rPr/>
    </w:lvl>
    <w:lvl w:ilvl="4">
      <w:start w:val="1"/>
      <w:numFmt w:val="decimal"/>
      <w:lvlText w:val="%1.%2.%3.%4.%5"/>
      <w:lvlJc w:val="left"/>
      <w:pPr>
        <w:ind w:left="2784" w:hanging="1080.0000000000002"/>
      </w:pPr>
      <w:rPr/>
    </w:lvl>
    <w:lvl w:ilvl="5">
      <w:start w:val="1"/>
      <w:numFmt w:val="decimal"/>
      <w:lvlText w:val="%1.%2.%3.%4.%5.%6"/>
      <w:lvlJc w:val="left"/>
      <w:pPr>
        <w:ind w:left="3210" w:hanging="1080"/>
      </w:pPr>
      <w:rPr/>
    </w:lvl>
    <w:lvl w:ilvl="6">
      <w:start w:val="1"/>
      <w:numFmt w:val="decimal"/>
      <w:lvlText w:val="%1.%2.%3.%4.%5.%6.%7"/>
      <w:lvlJc w:val="left"/>
      <w:pPr>
        <w:ind w:left="3996" w:hanging="1440"/>
      </w:pPr>
      <w:rPr/>
    </w:lvl>
    <w:lvl w:ilvl="7">
      <w:start w:val="1"/>
      <w:numFmt w:val="decimal"/>
      <w:lvlText w:val="%1.%2.%3.%4.%5.%6.%7.%8"/>
      <w:lvlJc w:val="left"/>
      <w:pPr>
        <w:ind w:left="4422" w:hanging="1440"/>
      </w:pPr>
      <w:rPr/>
    </w:lvl>
    <w:lvl w:ilvl="8">
      <w:start w:val="1"/>
      <w:numFmt w:val="decimal"/>
      <w:lvlText w:val="%1.%2.%3.%4.%5.%6.%7.%8.%9"/>
      <w:lvlJc w:val="left"/>
      <w:pPr>
        <w:ind w:left="5208" w:hanging="1800.0000000000005"/>
      </w:pPr>
      <w:rPr/>
    </w:lvl>
  </w:abstractNum>
  <w:abstractNum w:abstractNumId="8">
    <w:lvl w:ilvl="0">
      <w:start w:val="5"/>
      <w:numFmt w:val="decimal"/>
      <w:lvlText w:val="%1"/>
      <w:lvlJc w:val="left"/>
      <w:pPr>
        <w:ind w:left="360" w:hanging="360"/>
      </w:pPr>
      <w:rPr/>
    </w:lvl>
    <w:lvl w:ilvl="1">
      <w:start w:val="1"/>
      <w:numFmt w:val="decimal"/>
      <w:lvlText w:val="%1.%2"/>
      <w:lvlJc w:val="left"/>
      <w:pPr>
        <w:ind w:left="786" w:hanging="360.00000000000006"/>
      </w:pPr>
      <w:rPr/>
    </w:lvl>
    <w:lvl w:ilvl="2">
      <w:start w:val="1"/>
      <w:numFmt w:val="decimal"/>
      <w:lvlText w:val="%1.%2.%3"/>
      <w:lvlJc w:val="left"/>
      <w:pPr>
        <w:ind w:left="1572" w:hanging="720.0000000000001"/>
      </w:pPr>
      <w:rPr/>
    </w:lvl>
    <w:lvl w:ilvl="3">
      <w:start w:val="1"/>
      <w:numFmt w:val="decimal"/>
      <w:lvlText w:val="%1.%2.%3.%4"/>
      <w:lvlJc w:val="left"/>
      <w:pPr>
        <w:ind w:left="1998" w:hanging="720"/>
      </w:pPr>
      <w:rPr/>
    </w:lvl>
    <w:lvl w:ilvl="4">
      <w:start w:val="1"/>
      <w:numFmt w:val="decimal"/>
      <w:lvlText w:val="%1.%2.%3.%4.%5"/>
      <w:lvlJc w:val="left"/>
      <w:pPr>
        <w:ind w:left="2784" w:hanging="1080.0000000000002"/>
      </w:pPr>
      <w:rPr/>
    </w:lvl>
    <w:lvl w:ilvl="5">
      <w:start w:val="1"/>
      <w:numFmt w:val="decimal"/>
      <w:lvlText w:val="%1.%2.%3.%4.%5.%6"/>
      <w:lvlJc w:val="left"/>
      <w:pPr>
        <w:ind w:left="3210" w:hanging="1080"/>
      </w:pPr>
      <w:rPr/>
    </w:lvl>
    <w:lvl w:ilvl="6">
      <w:start w:val="1"/>
      <w:numFmt w:val="decimal"/>
      <w:lvlText w:val="%1.%2.%3.%4.%5.%6.%7"/>
      <w:lvlJc w:val="left"/>
      <w:pPr>
        <w:ind w:left="3996" w:hanging="1440"/>
      </w:pPr>
      <w:rPr/>
    </w:lvl>
    <w:lvl w:ilvl="7">
      <w:start w:val="1"/>
      <w:numFmt w:val="decimal"/>
      <w:lvlText w:val="%1.%2.%3.%4.%5.%6.%7.%8"/>
      <w:lvlJc w:val="left"/>
      <w:pPr>
        <w:ind w:left="4422" w:hanging="1440"/>
      </w:pPr>
      <w:rPr/>
    </w:lvl>
    <w:lvl w:ilvl="8">
      <w:start w:val="1"/>
      <w:numFmt w:val="decimal"/>
      <w:lvlText w:val="%1.%2.%3.%4.%5.%6.%7.%8.%9"/>
      <w:lvlJc w:val="left"/>
      <w:pPr>
        <w:ind w:left="5208" w:hanging="1800.0000000000005"/>
      </w:pPr>
      <w:rPr/>
    </w:lvl>
  </w:abstractNum>
  <w:abstractNum w:abstractNumId="9">
    <w:lvl w:ilvl="0">
      <w:start w:val="6"/>
      <w:numFmt w:val="decimal"/>
      <w:lvlText w:val="%1"/>
      <w:lvlJc w:val="left"/>
      <w:pPr>
        <w:ind w:left="360" w:hanging="360"/>
      </w:pPr>
      <w:rPr/>
    </w:lvl>
    <w:lvl w:ilvl="1">
      <w:start w:val="1"/>
      <w:numFmt w:val="decimal"/>
      <w:lvlText w:val="%1.%2"/>
      <w:lvlJc w:val="left"/>
      <w:pPr>
        <w:ind w:left="786" w:hanging="360.00000000000006"/>
      </w:pPr>
      <w:rPr/>
    </w:lvl>
    <w:lvl w:ilvl="2">
      <w:start w:val="1"/>
      <w:numFmt w:val="decimal"/>
      <w:lvlText w:val="%1.%2.%3"/>
      <w:lvlJc w:val="left"/>
      <w:pPr>
        <w:ind w:left="1572" w:hanging="720.0000000000001"/>
      </w:pPr>
      <w:rPr/>
    </w:lvl>
    <w:lvl w:ilvl="3">
      <w:start w:val="1"/>
      <w:numFmt w:val="decimal"/>
      <w:lvlText w:val="%1.%2.%3.%4"/>
      <w:lvlJc w:val="left"/>
      <w:pPr>
        <w:ind w:left="1998" w:hanging="720"/>
      </w:pPr>
      <w:rPr/>
    </w:lvl>
    <w:lvl w:ilvl="4">
      <w:start w:val="1"/>
      <w:numFmt w:val="decimal"/>
      <w:lvlText w:val="%1.%2.%3.%4.%5"/>
      <w:lvlJc w:val="left"/>
      <w:pPr>
        <w:ind w:left="2784" w:hanging="1080.0000000000002"/>
      </w:pPr>
      <w:rPr/>
    </w:lvl>
    <w:lvl w:ilvl="5">
      <w:start w:val="1"/>
      <w:numFmt w:val="decimal"/>
      <w:lvlText w:val="%1.%2.%3.%4.%5.%6"/>
      <w:lvlJc w:val="left"/>
      <w:pPr>
        <w:ind w:left="3210" w:hanging="1080"/>
      </w:pPr>
      <w:rPr/>
    </w:lvl>
    <w:lvl w:ilvl="6">
      <w:start w:val="1"/>
      <w:numFmt w:val="decimal"/>
      <w:lvlText w:val="%1.%2.%3.%4.%5.%6.%7"/>
      <w:lvlJc w:val="left"/>
      <w:pPr>
        <w:ind w:left="3996" w:hanging="1440"/>
      </w:pPr>
      <w:rPr/>
    </w:lvl>
    <w:lvl w:ilvl="7">
      <w:start w:val="1"/>
      <w:numFmt w:val="decimal"/>
      <w:lvlText w:val="%1.%2.%3.%4.%5.%6.%7.%8"/>
      <w:lvlJc w:val="left"/>
      <w:pPr>
        <w:ind w:left="4422" w:hanging="1440"/>
      </w:pPr>
      <w:rPr/>
    </w:lvl>
    <w:lvl w:ilvl="8">
      <w:start w:val="1"/>
      <w:numFmt w:val="decimal"/>
      <w:lvlText w:val="%1.%2.%3.%4.%5.%6.%7.%8.%9"/>
      <w:lvlJc w:val="left"/>
      <w:pPr>
        <w:ind w:left="5208" w:hanging="1800.0000000000005"/>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Pr>
  </w:style>
  <w:style w:type="paragraph" w:styleId="PargrafodaLista">
    <w:name w:val="List Paragraph"/>
    <w:basedOn w:val="Normal"/>
    <w:uiPriority w:val="34"/>
    <w:qFormat w:val="1"/>
    <w:rsid w:val="006D2B7D"/>
    <w:pPr>
      <w:ind w:left="720"/>
      <w:contextualSpacing w:val="1"/>
    </w:pPr>
  </w:style>
  <w:style w:type="character" w:styleId="Ttulo2Char" w:customStyle="1">
    <w:name w:val="Título 2 Char"/>
    <w:basedOn w:val="Fontepargpadro"/>
    <w:link w:val="Ttulo2"/>
    <w:uiPriority w:val="9"/>
    <w:rsid w:val="000E47DB"/>
    <w:rPr>
      <w:sz w:val="32"/>
      <w:szCs w:val="32"/>
    </w:rPr>
  </w:style>
  <w:style w:type="character" w:styleId="Ttulo1Char" w:customStyle="1">
    <w:name w:val="Título 1 Char"/>
    <w:basedOn w:val="Fontepargpadro"/>
    <w:link w:val="Ttulo1"/>
    <w:uiPriority w:val="9"/>
    <w:rsid w:val="00357986"/>
    <w:rPr>
      <w:sz w:val="40"/>
      <w:szCs w:val="40"/>
    </w:rPr>
  </w:style>
  <w:style w:type="paragraph" w:styleId="NormalWeb">
    <w:name w:val="Normal (Web)"/>
    <w:basedOn w:val="Normal"/>
    <w:uiPriority w:val="99"/>
    <w:semiHidden w:val="1"/>
    <w:unhideWhenUsed w:val="1"/>
    <w:rsid w:val="009F73BE"/>
    <w:pPr>
      <w:spacing w:after="100" w:afterAutospacing="1" w:before="100" w:beforeAutospacing="1" w:line="240" w:lineRule="auto"/>
    </w:pPr>
    <w:rPr>
      <w:rFonts w:ascii="Times New Roman" w:cs="Times New Roman" w:eastAsia="Times New Roman" w:hAnsi="Times New Roman"/>
      <w:sz w:val="24"/>
      <w:szCs w:val="24"/>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55ZjcmMvupQ+Q7JUtuMxiCPyTg==">CgMxLjAaHQoBMBIYChYIB0ISEhBBcmlhbCBVbmljb2RlIE1TGh0KATESGAoWCAdCEhIQQXJpYWwgVW5pY29kZSBNUzIOaC50ejN1dXNxM214ZDMyDWgub281c3V5b3hoemIyDmgueGEwcHVlZXpzbmx2Mg5oLnZiNm1ydGtxa2hnMjIOaC5jaThxODdvNWwzOHQyDmguNGZyNGQ3YnFva2l1Mg1oLnBxeGZiYXhobmlzMg5oLmdjZThpeTd0NXV2aDIOaC41MWZydXg0OXcxbWYyDmgucjZwOWM2dTMyamdhMg5oLnVtZWNrZ3lxcWp1MjIOaC44bXQ0Mjd5MXJhMDEyDmguZnpsNGt2N2RoZjdxMg5oLnZ4MmZ3MTFoeXY1cjIOaC5jMWJ4M2oydGptbXQyDmgueWhoZmh6Nmg0a3dhMg5oLmZkMzYyY2twZnR6ejgAciExS0ZmQ3M2TkdnWkZPbk5xN01SZE00dllEb054SmR3VF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2026-01-08T00:24:00Z</dcterms:created>
  <dc:creator>HOMEWORK</dc:creator>
</cp:coreProperties>
</file>