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TERMO DE REFERÊNCIA – CONSULTOR INDIVIDUAL</w:t>
      </w:r>
    </w:p>
    <w:p>
      <w:pPr/>
    </w:p>
    <w:tbl>
      <w:tblPr>
        <w:tblStyle w:val="Table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4"/>
        <w:gridCol w:w="4514"/>
      </w:tblGrid>
      <w:tr>
        <w:tc>
          <w:tcPr>
            <w:tcW w:type="dxa" w:w="4514"/>
          </w:tcPr>
          <w:p>
            <w:r/>
            <w:r>
              <w:rPr>
                <w:b/>
              </w:rPr>
              <w:t>Título do Projeto</w:t>
            </w:r>
          </w:p>
        </w:tc>
        <w:tc>
          <w:tcPr>
            <w:tcW w:type="dxa" w:w="4514"/>
          </w:tcPr>
          <w:p>
            <w:r/>
            <w:r>
              <w:rPr>
                <w:b w:val="0"/>
              </w:rPr>
              <w:t>218BRA2001 – Programa de Resiliência Socioambiental nas Áreas de Proteção Ambiental Lago do Amapá e Igarapé São Francisco – SEMA/AC</w:t>
            </w:r>
          </w:p>
        </w:tc>
      </w:tr>
      <w:tr>
        <w:tc>
          <w:tcPr>
            <w:tcW w:type="dxa" w:w="4514"/>
          </w:tcPr>
          <w:p>
            <w:r/>
            <w:r>
              <w:rPr>
                <w:b/>
              </w:rPr>
              <w:t>Enquadramento na Matriz Lógica do Projeto</w:t>
            </w:r>
          </w:p>
        </w:tc>
        <w:tc>
          <w:tcPr>
            <w:tcW w:type="dxa" w:w="4514"/>
          </w:tcPr>
          <w:p>
            <w:r/>
            <w:r>
              <w:rPr>
                <w:b w:val="0"/>
              </w:rPr>
              <w:t>Objetivo Imediato: Fortalecer a resiliência ambiental na APA Lago do Amapá e Igarapé São Francisco, no município de Rio Branco e nos demais municípios da bacia do Rio Acre, com ações de comunicação, visibilidade e prestação de contas do Projeto 218BRA2001.</w:t>
              <w:br/>
              <w:br/>
              <w:t>Resultado Esperado: Ampliar a transparência e a visibilidade pública da execução física e financeira do projeto, por meio da evolução do painel público existente para um site público completo, incluindo a publicização — hoje inexistente — da execução financeira agregada, da linha do tempo de entregas e dos produtos técnicos aprovados.</w:t>
              <w:br/>
              <w:br/>
              <w:t>Atividade Vinculada: [Comunicação, Visibilidade e Prestação de Contas do Projeto – código a confirmar junto à Matriz Lógica / PRODOC 218BRA2001]</w:t>
            </w:r>
          </w:p>
        </w:tc>
      </w:tr>
      <w:tr>
        <w:tc>
          <w:tcPr>
            <w:tcW w:type="dxa" w:w="4514"/>
          </w:tcPr>
          <w:p>
            <w:r/>
            <w:r>
              <w:rPr>
                <w:b/>
              </w:rPr>
              <w:t>Local de Trabalho</w:t>
            </w:r>
          </w:p>
        </w:tc>
        <w:tc>
          <w:tcPr>
            <w:tcW w:type="dxa" w:w="4514"/>
          </w:tcPr>
          <w:p>
            <w:r/>
            <w:r>
              <w:rPr>
                <w:b w:val="0"/>
              </w:rPr>
              <w:t>Remoto, com interlocução junto à SEMA/AC – Rio Branco/AC</w:t>
            </w:r>
          </w:p>
        </w:tc>
      </w:tr>
      <w:tr>
        <w:tc>
          <w:tcPr>
            <w:tcW w:type="dxa" w:w="4514"/>
          </w:tcPr>
          <w:p>
            <w:r/>
            <w:r>
              <w:rPr>
                <w:b/>
              </w:rPr>
              <w:t>Período do Contrato</w:t>
            </w:r>
          </w:p>
        </w:tc>
        <w:tc>
          <w:tcPr>
            <w:tcW w:type="dxa" w:w="4514"/>
          </w:tcPr>
          <w:p>
            <w:r/>
            <w:r>
              <w:rPr>
                <w:b w:val="0"/>
              </w:rPr>
              <w:t>Início: [A DEFINIR]</w:t>
              <w:br/>
              <w:t>Fim: [A DEFINIR]</w:t>
              <w:br/>
              <w:t>Duração: 4 (quatro) meses</w:t>
            </w:r>
          </w:p>
        </w:tc>
      </w:tr>
      <w:tr>
        <w:tc>
          <w:tcPr>
            <w:tcW w:type="dxa" w:w="4514"/>
          </w:tcPr>
          <w:p>
            <w:r/>
            <w:r>
              <w:rPr>
                <w:b/>
              </w:rPr>
              <w:t>Valor Estimado em Reais</w:t>
            </w:r>
          </w:p>
        </w:tc>
        <w:tc>
          <w:tcPr>
            <w:tcW w:type="dxa" w:w="4514"/>
          </w:tcPr>
          <w:p>
            <w:r/>
            <w:r>
              <w:rPr>
                <w:b w:val="0"/>
              </w:rPr>
              <w:t>R$ 99.000,00 (noventa e nove mil reais)</w:t>
            </w:r>
          </w:p>
        </w:tc>
      </w:tr>
    </w:tbl>
    <w:p>
      <w:pPr/>
    </w:p>
    <w:p>
      <w:pPr>
        <w:pStyle w:val="Heading1"/>
      </w:pPr>
      <w:r>
        <w:t>1. FINALIDADE DA CONTRATAÇÃO</w:t>
      </w:r>
    </w:p>
    <w:p>
      <w:pPr>
        <w:pStyle w:val="Heading2"/>
      </w:pPr>
      <w:r>
        <w:t>a) Objeto da contratação</w:t>
      </w:r>
    </w:p>
    <w:p>
      <w:pPr/>
      <w:r>
        <w:rPr>
          <w:b w:val="0"/>
          <w:i w:val="0"/>
        </w:rPr>
        <w:t>Contratação de consultor(a) individual (pessoa física), com perfil técnico em desenvolvimento de sites e sistemas web e em comunicação de dados socioambientais, para realizar o diagnóstico dos dados disponíveis na Plataforma DIMA (sistema de gestão do Projeto 218BRA2001), projetar a arquitetura de informação e a interface, e desenvolver um site público moderno de divulgação da execução do projeto, evoluindo o atual painel público (mapa de entregas, painel geral e matriz de resultados) para um site multipágina com identidade própria, incorporando transparência financeira agregada, linha do tempo de entregas, galeria de produtos técnicos aprovados e página institucional.</w:t>
      </w:r>
    </w:p>
    <w:p>
      <w:pPr>
        <w:pStyle w:val="Heading2"/>
      </w:pPr>
      <w:r>
        <w:t>b) Contexto da Consultoria</w:t>
      </w:r>
    </w:p>
    <w:p>
      <w:pPr/>
      <w:r>
        <w:rPr>
          <w:b w:val="0"/>
          <w:i w:val="0"/>
        </w:rPr>
        <w:t>A Plataforma DIMA é o sistema de gestão do Projeto 218BRA2001 – Programa de Resiliência Socioambiental nas Áreas de Proteção Ambiental Lago do Amapá e Igarapé São Francisco, executado pela SEMA/AC com recursos do Fundo Brasil-ONU e apoio técnico da UNESCO. O sistema centraliza, em ambiente Supabase (PostgreSQL), a gestão de atividades e suas fases de execução, Termos de Referência (TDRs) e contratos, execução financeira por atividade e fornecedor, produtos técnicos entregues e sua aprovação, viagens e missões de campo, e a matriz de contribuição a indicadores de resultado do projeto.</w:t>
      </w:r>
    </w:p>
    <w:p>
      <w:pPr/>
      <w:r>
        <w:rPr>
          <w:b w:val="0"/>
          <w:i w:val="0"/>
        </w:rPr>
        <w:t>A divulgação pública dessa execução ocorre hoje por meio de um painel público de página única, com três abas: (i) Mapa de Entregas — mapa interativo com pontos e geometrias das entregas em campo, filtros por APA e tipo de atividade, camadas geográficas, fotos e vídeos; (ii) Painel Geral — indicadores-chave de atividades, TDRs aprovados, produtos entregues e indicadores com progresso, com gráficos do pipeline de contratação; e (iii) Matriz de Resultados — indicadores agrupados por resultado e produto, com barras de progresso e vinculação aos ODS. Esses painéis são alimentados por funções de banco de dados de acesso público (fn_publico_operacional, fn_publico_resultados, fn_publico_mapa, fn_publico_camadas e fn_publico_tipos_mapa), que expõem exclusivamente dados agregados — modelo de segurança adequado, que deverá ser mantido e ampliado.</w:t>
      </w:r>
    </w:p>
    <w:p>
      <w:pPr/>
      <w:r>
        <w:rPr>
          <w:b w:val="0"/>
          <w:i w:val="0"/>
        </w:rPr>
        <w:t>O diagnóstico técnico preliminar do painel atual identificou, contudo, lacunas relevantes para um canal oficial de prestação de contas: ausência total de dados financeiros públicos (orçamento, percentual executado, execução por resultado), embora a plataforma registre a execução financeira completa; ausência de linha do tempo do projeto e de galeria dos produtos técnicos aprovados; ausência de página institucional (financiadores, executores, objetivos, documentos públicos); arquitetura monolítica em arquivo único de cerca de 1.500 linhas, que dificulta manutenção e evolução; conteúdo integralmente carregado por JavaScript, sem metadados para mecanismos de busca e compartilhamento em redes sociais (SEO/Open Graph); acessibilidade digital não auditada; e disponibilidade apenas em português, embora o público inclua doadores e instituições internacionais (UNESCO/ONU).</w:t>
      </w:r>
    </w:p>
    <w:p>
      <w:pPr>
        <w:pStyle w:val="Heading2"/>
      </w:pPr>
      <w:r>
        <w:t>c) Motivação e Relevância</w:t>
      </w:r>
    </w:p>
    <w:p>
      <w:pPr/>
      <w:r>
        <w:rPr>
          <w:b w:val="0"/>
          <w:i w:val="0"/>
        </w:rPr>
        <w:t>Projetos financiados por cooperação internacional, como o 218BRA2001, têm na transparência ativa e na prestação de contas pública elementos centrais de accountability perante a UNESCO, o Fundo Brasil-ONU e a sociedade acreana, em consonância com os princípios de transparência ativa previstos na Lei de Acesso à Informação (Lei nº 12.527/2011). Um site público moderno, acessível e visualmente qualificado amplia o alcance da comunicação institucional, fortalece a legitimidade do programa junto a parceiros e potenciais cofinanciadores, e torna tangível para a sociedade civil o impacto de ações como a regularização ambiental, a restauração florestal e a segurança hídrica na bacia do Rio Acre.</w:t>
      </w:r>
    </w:p>
    <w:p>
      <w:pPr/>
      <w:r>
        <w:rPr>
          <w:b w:val="0"/>
          <w:i w:val="0"/>
        </w:rPr>
        <w:t>A relevância da consultoria está também em traduzir, para o público não especializado, dados técnicos de execução física e financeira que hoje residem em tabelas e módulos internos da Plataforma DIMA (atividades, contratos, produtos entregues, indicadores da matriz de resultados), convertendo-os em narrativas visuais claras — mapas interativos, painéis de indicadores e linha do tempo de entregas — que comuniquem, de forma direta, o avanço do projeto.</w:t>
      </w:r>
    </w:p>
    <w:p>
      <w:pPr>
        <w:pStyle w:val="Heading2"/>
      </w:pPr>
      <w:r>
        <w:t>d) Necessidade da Consultoria</w:t>
      </w:r>
    </w:p>
    <w:p>
      <w:pPr/>
      <w:r>
        <w:rPr>
          <w:b w:val="0"/>
          <w:i w:val="0"/>
        </w:rPr>
        <w:t>A equipe técnica e de coordenação do projeto não dispõe de capacidade dedicada em desenvolvimento web e design de interface para estruturar e manter um site público à altura da complexidade dos dados já geridos pela Plataforma DIMA. O painel público atual foi construído de forma incremental, como extensão visual do sistema interno, sem identidade própria de comunicação pública, sem arquitetura de informação orientada aos públicos-alvo e sem cobertura dos dados de maior interesse para a prestação de contas — em especial a execução financeira, hoje ausente do canal público.</w:t>
      </w:r>
    </w:p>
    <w:p>
      <w:pPr/>
      <w:r>
        <w:rPr>
          <w:b w:val="0"/>
          <w:i w:val="0"/>
        </w:rPr>
        <w:t>É necessário, portanto, um profissional especializado para conduzir o diagnóstico dos dados passíveis de publicização (incluindo a proposição de regra formal de privacidade para dados financeiros, publicados apenas de forma agregada, nunca por contrato ou fornecedor), desenhar a solução de interface e desenvolver o site público multipágina, reaproveitando o backend Supabase, as funções públicas de banco de dados já validadas e os componentes de mapa e matriz existentes (a serem portados, não reescritos), seguindo os padrões de código já adotados na Plataforma DIMA (HTML5, CSS3 e JavaScript puro, sem etapa de build) e assegurando responsividade, acessibilidade e desempenho adequados a um canal oficial de comunicação do projeto.</w:t>
      </w:r>
    </w:p>
    <w:p>
      <w:pPr>
        <w:pStyle w:val="Heading1"/>
      </w:pPr>
      <w:r>
        <w:t>2. PRODUTOS A SEREM ENTREGUES E/OU ATIVIDADES</w:t>
      </w:r>
    </w:p>
    <w:p>
      <w:pPr>
        <w:pStyle w:val="Heading2"/>
      </w:pPr>
      <w:r>
        <w:t>Produto 1: Diagnóstico de Dados, Regra de Privacidade e Arquitetura de Informação</w:t>
      </w:r>
    </w:p>
    <w:p>
      <w:pPr/>
      <w:r>
        <w:rPr>
          <w:b w:val="0"/>
          <w:i w:val="0"/>
        </w:rPr>
        <w:t>Atividades:</w:t>
      </w:r>
    </w:p>
    <w:p>
      <w:pPr>
        <w:numPr>
          <w:ilvl w:val="0"/>
          <w:numId w:val="1"/>
        </w:numPr>
        <w:ind w:left="714" w:hanging="357"/>
        <w:jc w:val="both"/>
      </w:pPr>
      <w:r>
        <w:t>Inventário completo das fontes de dados passíveis de divulgação pública na Plataforma DIMA (atividades e fases, execução financeira agregada, produtos técnicos aprovados, indicadores da matriz de contribuição, geometrias e registros do mapa de entregas), com base no schema do banco de dados e nas funções públicas existentes (fn_publico_operacional, fn_publico_resultados, fn_publico_mapa, fn_publico_camadas, fn_publico_tipos_mapa), incluindo auditoria de qualidade e completude dos dados a exibir.</w:t>
      </w:r>
    </w:p>
    <w:p>
      <w:pPr>
        <w:numPr>
          <w:ilvl w:val="0"/>
          <w:numId w:val="1"/>
        </w:numPr>
        <w:ind w:left="714" w:hanging="357"/>
        <w:jc w:val="both"/>
      </w:pPr>
      <w:r>
        <w:t>Proposição de regra formal de privacidade e publicidade de dados, a ser aprovada pela coordenação, estabelecendo que dados financeiros sejam publicados exclusivamente de forma agregada por resultado e atividade (nunca por contrato ou fornecedor) e que produtos técnicos sejam publicados apenas mediante marcação explícita de publicação.</w:t>
      </w:r>
    </w:p>
    <w:p>
      <w:pPr>
        <w:numPr>
          <w:ilvl w:val="0"/>
          <w:numId w:val="1"/>
        </w:numPr>
        <w:ind w:left="714" w:hanging="357"/>
        <w:jc w:val="both"/>
      </w:pPr>
      <w:r>
        <w:t>Especificação técnica das novas funções públicas de banco de dados necessárias ao site (execução financeira agregada, linha do tempo de eventos públicos, galeria de produtos publicáveis e resumo consolidado da página inicial), seguindo o modelo de segurança já validado (funções de acesso público que expõem somente agregados).</w:t>
      </w:r>
    </w:p>
    <w:p>
      <w:pPr>
        <w:numPr>
          <w:ilvl w:val="0"/>
          <w:numId w:val="1"/>
        </w:numPr>
        <w:ind w:left="714" w:hanging="357"/>
        <w:jc w:val="both"/>
      </w:pPr>
      <w:r>
        <w:t>Definição da arquitetura de informação do site público — mapa do site com, no mínimo, 7 páginas (Início, Mapa de Entregas, Resultados, Transparência Financeira, Linha do Tempo, Produtos e Sobre o Projeto) — e das jornadas de navegação para os públicos-alvo (UNESCO/doadores, gestão pública, sociedade civil e imprensa).</w:t>
      </w:r>
    </w:p>
    <w:p>
      <w:pPr>
        <w:numPr>
          <w:ilvl w:val="0"/>
          <w:numId w:val="1"/>
        </w:numPr>
        <w:ind w:left="714" w:hanging="357"/>
        <w:jc w:val="both"/>
      </w:pPr>
      <w:r>
        <w:t>Elaboração de documento técnico de diagnóstico e arquitetura de informação, incluindo wireframes de baixa fidelidade das páginas e a recomendação fundamentada do ambiente de hospedagem (GitHub Pages ou equivalente já em uso pelo projeto).</w:t>
      </w:r>
    </w:p>
    <w:p>
      <w:pPr>
        <w:pStyle w:val="Heading2"/>
      </w:pPr>
      <w:r>
        <w:t>Produto 2: Design UI/UX e Protótipo Navegável do Site Público</w:t>
      </w:r>
    </w:p>
    <w:p>
      <w:pPr/>
      <w:r>
        <w:rPr>
          <w:b w:val="0"/>
          <w:i w:val="0"/>
        </w:rPr>
        <w:t>Atividades:</w:t>
      </w:r>
    </w:p>
    <w:p>
      <w:pPr>
        <w:numPr>
          <w:ilvl w:val="0"/>
          <w:numId w:val="1"/>
        </w:numPr>
        <w:ind w:left="714" w:hanging="357"/>
        <w:jc w:val="both"/>
      </w:pPr>
      <w:r>
        <w:t>Definição da identidade visual própria do site público (paleta de cores derivada da identidade institucional, tipografia, grade de layout e biblioteca de componentes reutilizáveis — design tokens), alinhada às diretrizes de comunicação da UNESCO e da SEMA/AC, distinta da interface do sistema interno de gestão.</w:t>
      </w:r>
    </w:p>
    <w:p>
      <w:pPr>
        <w:numPr>
          <w:ilvl w:val="0"/>
          <w:numId w:val="1"/>
        </w:numPr>
        <w:ind w:left="714" w:hanging="357"/>
        <w:jc w:val="both"/>
      </w:pPr>
      <w:r>
        <w:t>Elaboração de protótipo navegável de alta fidelidade das 7 páginas definidas no Produto 1, com versões desktop e mobile (abordagem mobile-first), contemplando a apresentação dos dados como narrativa contextualizada (números sempre acompanhados de contexto), e com conformidade de contraste e legibilidade verificada já na fase de design (WCAG 2.1 AA).</w:t>
      </w:r>
    </w:p>
    <w:p>
      <w:pPr>
        <w:numPr>
          <w:ilvl w:val="0"/>
          <w:numId w:val="1"/>
        </w:numPr>
        <w:ind w:left="714" w:hanging="357"/>
        <w:jc w:val="both"/>
      </w:pPr>
      <w:r>
        <w:t>Validação do protótipo junto à coordenação do projeto, com registro formal dos ajustes solicitados e das versões aprovadas.</w:t>
      </w:r>
    </w:p>
    <w:p>
      <w:pPr>
        <w:pStyle w:val="Heading2"/>
      </w:pPr>
      <w:r>
        <w:t>Produto 3: Desenvolvimento Frontend, Novas Funções de Dados e Integração</w:t>
      </w:r>
    </w:p>
    <w:p>
      <w:pPr/>
      <w:r>
        <w:rPr>
          <w:b w:val="0"/>
          <w:i w:val="0"/>
        </w:rPr>
        <w:t>Atividades:</w:t>
      </w:r>
    </w:p>
    <w:p>
      <w:pPr>
        <w:numPr>
          <w:ilvl w:val="0"/>
          <w:numId w:val="1"/>
        </w:numPr>
        <w:ind w:left="714" w:hanging="357"/>
        <w:jc w:val="both"/>
      </w:pPr>
      <w:r>
        <w:t>Desenvolvimento do site público multipágina em HTML5, CSS3 e JavaScript puro (sem etapa de build), em estrutura modular de arquivos (folhas de estilo com design tokens, componentes compartilhados de cabeçalho/rodapé e módulo único de acesso a dados), superando a atual arquitetura de arquivo único, com conteúdo institucional pré-renderizado no HTML para indexação por mecanismos de busca.</w:t>
      </w:r>
    </w:p>
    <w:p>
      <w:pPr>
        <w:numPr>
          <w:ilvl w:val="0"/>
          <w:numId w:val="1"/>
        </w:numPr>
        <w:ind w:left="714" w:hanging="357"/>
        <w:jc w:val="both"/>
      </w:pPr>
      <w:r>
        <w:t>Implementação, via migrações SQL versionadas, das novas funções públicas de banco de dados especificadas no Produto 1, respeitando a regra de privacidade aprovada (somente agregados; sem dados nominais de fornecedores, valores de contratos individuais ou dados pessoais), com validação prévia em ambiente de homologação.</w:t>
      </w:r>
    </w:p>
    <w:p>
      <w:pPr>
        <w:numPr>
          <w:ilvl w:val="0"/>
          <w:numId w:val="1"/>
        </w:numPr>
        <w:ind w:left="714" w:hanging="357"/>
        <w:jc w:val="both"/>
      </w:pPr>
      <w:r>
        <w:t>Portabilidade (não reescrita) do mapa interativo de entregas e da matriz de resultados existentes para a nova base de código, com melhorias de usabilidade em dispositivos móveis, e desenvolvimento das novas páginas de Transparência Financeira, Linha do Tempo, Galeria de Produtos e Sobre o Projeto, com visualizações de dados responsivas.</w:t>
      </w:r>
    </w:p>
    <w:p>
      <w:pPr>
        <w:numPr>
          <w:ilvl w:val="0"/>
          <w:numId w:val="1"/>
        </w:numPr>
        <w:ind w:left="714" w:hanging="357"/>
        <w:jc w:val="both"/>
      </w:pPr>
      <w:r>
        <w:t>Disponibilização das páginas-chave (Início, Sobre e Transparência) também em inglês, redirecionamento permanente da página pública anterior para o novo site e internalização (vendorização) das bibliotecas externas de mapa e gráficos para eliminar dependência de CDNs de terceiros.</w:t>
      </w:r>
    </w:p>
    <w:p>
      <w:pPr>
        <w:pStyle w:val="Heading2"/>
      </w:pPr>
      <w:r>
        <w:t>Produto 4: Testes, Acessibilidade, SEO, Publicação, Documentação e Capacitação</w:t>
      </w:r>
    </w:p>
    <w:p>
      <w:pPr/>
      <w:r>
        <w:rPr>
          <w:b w:val="0"/>
          <w:i w:val="0"/>
        </w:rPr>
        <w:t>Atividades:</w:t>
      </w:r>
    </w:p>
    <w:p>
      <w:pPr>
        <w:numPr>
          <w:ilvl w:val="0"/>
          <w:numId w:val="1"/>
        </w:numPr>
        <w:ind w:left="714" w:hanging="357"/>
        <w:jc w:val="both"/>
      </w:pPr>
      <w:r>
        <w:t>Realização de testes funcionais e de responsividade em navegadores e dispositivos representativos (Chrome, Firefox e Safari; Android e iOS), auditoria de acessibilidade digital (WCAG 2.1, nível AA) e auditoria de segurança das funções públicas (verificação de que nenhuma consulta pública expõe dados além dos agregados aprovados), com os respectivos ajustes de correção.</w:t>
      </w:r>
    </w:p>
    <w:p>
      <w:pPr>
        <w:numPr>
          <w:ilvl w:val="0"/>
          <w:numId w:val="1"/>
        </w:numPr>
        <w:ind w:left="714" w:hanging="357"/>
        <w:jc w:val="both"/>
      </w:pPr>
      <w:r>
        <w:t>Otimização técnica para mecanismos de busca e compartilhamento (metadados, Open Graph, sitemap.xml e robots.txt), com meta mínima de pontuação 90 nas categorias Performance, Acessibilidade, Boas Práticas e SEO da ferramenta Lighthouse, e publicação do site no ambiente de produção definido no Produto 1, com acompanhamento pós-lançamento.</w:t>
      </w:r>
    </w:p>
    <w:p>
      <w:pPr>
        <w:numPr>
          <w:ilvl w:val="0"/>
          <w:numId w:val="1"/>
        </w:numPr>
        <w:ind w:left="714" w:hanging="357"/>
        <w:jc w:val="both"/>
      </w:pPr>
      <w:r>
        <w:t>Elaboração de documentação técnica (arquitetura do site, funções de dados consumidas, instruções de atualização de conteúdo e de publicação) e realização de sessão de capacitação para a equipe técnica da SEMA/UNESCO responsável pela manutenção básica do site, com relatório final consolidado.</w:t>
      </w:r>
    </w:p>
    <w:p>
      <w:pPr>
        <w:pStyle w:val="Heading1"/>
      </w:pPr>
      <w:r>
        <w:t>3. CRONOGRAMA DE EXECUÇÃO E PAGAMENTOS</w:t>
      </w:r>
    </w:p>
    <w:tbl>
      <w:tblPr>
        <w:tblStyle w:val="Table2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val="clear" w:fill="CCCCCC"/>
          </w:tcPr>
          <w:p>
            <w:r/>
            <w:r>
              <w:rPr>
                <w:b/>
              </w:rPr>
              <w:t>Produtos</w:t>
            </w:r>
          </w:p>
        </w:tc>
        <w:tc>
          <w:tcPr>
            <w:tcW w:type="dxa" w:w="3010"/>
            <w:shd w:val="clear" w:fill="CCCCCC"/>
          </w:tcPr>
          <w:p>
            <w:r/>
            <w:r>
              <w:rPr>
                <w:b/>
              </w:rPr>
              <w:t>Data para Entrega (contados a partir da data de assinatura do contrato)</w:t>
            </w:r>
          </w:p>
        </w:tc>
        <w:tc>
          <w:tcPr>
            <w:tcW w:type="dxa" w:w="3010"/>
            <w:shd w:val="clear" w:fill="CCCCCC"/>
          </w:tcPr>
          <w:p>
            <w:r/>
            <w:r>
              <w:rPr>
                <w:b/>
              </w:rPr>
              <w:t>Valor da Parcela</w:t>
            </w:r>
          </w:p>
        </w:tc>
      </w:tr>
      <w:tr>
        <w:tc>
          <w:tcPr>
            <w:tcW w:type="dxa" w:w="3010"/>
          </w:tcPr>
          <w:p>
            <w:r/>
            <w:r>
              <w:rPr>
                <w:b w:val="0"/>
              </w:rPr>
              <w:t>Produto 1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30 dias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R$ 20.000,00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b w:val="0"/>
              </w:rPr>
              <w:t>Produto 2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60 dias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R$ 22.000,00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b w:val="0"/>
              </w:rPr>
              <w:t>Produto 3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100 dias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R$ 35.000,00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b w:val="0"/>
              </w:rPr>
              <w:t>Produto 4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120 dias</w:t>
            </w:r>
          </w:p>
        </w:tc>
        <w:tc>
          <w:tcPr>
            <w:tcW w:type="dxa" w:w="3010"/>
          </w:tcPr>
          <w:p>
            <w:r/>
            <w:r>
              <w:rPr>
                <w:b w:val="0"/>
              </w:rPr>
              <w:t>R$ 22.000,00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3010"/>
          </w:tcPr>
          <w:p>
            <w:r/>
            <w:r>
              <w:rPr>
                <w:b/>
              </w:rPr>
              <w:t>120 dias</w:t>
            </w:r>
          </w:p>
        </w:tc>
        <w:tc>
          <w:tcPr>
            <w:tcW w:type="dxa" w:w="3010"/>
          </w:tcPr>
          <w:p>
            <w:r/>
            <w:r>
              <w:rPr>
                <w:b/>
              </w:rPr>
              <w:t>R$ 99.000,00</w:t>
            </w:r>
          </w:p>
        </w:tc>
      </w:tr>
    </w:tbl>
    <w:p>
      <w:pPr/>
    </w:p>
    <w:p>
      <w:pPr/>
      <w:r>
        <w:rPr>
          <w:b w:val="0"/>
          <w:i w:val="0"/>
        </w:rPr>
        <w:t>O pagamento de cada parcela está condicionado à entrega do respectivo produto e à sua aprovação técnica pela coordenação do Projeto 218BRA2001.</w:t>
      </w:r>
    </w:p>
    <w:p>
      <w:pPr>
        <w:pStyle w:val="Heading1"/>
      </w:pPr>
      <w:r>
        <w:t>4. INSUMOS</w:t>
      </w:r>
    </w:p>
    <w:p>
      <w:pPr/>
      <w:r>
        <w:rPr>
          <w:b w:val="0"/>
          <w:i w:val="0"/>
        </w:rPr>
        <w:t>O consultor terá acesso ao repositório de código da Plataforma DIMA (incluindo o painel público atual e seus componentes de mapa e matriz de resultados), à documentação técnica do sistema (estrutura de tabelas, enums, funções públicas de banco de dados e Edge Functions), a ambiente de testes/homologação no projeto Supabase (Projeto-SEMA-UNESCO), aos ativos de identidade visual institucional (logos do Governo do Acre, SEMA/AC, UNESCO, ONU Brasil, Fundo Brasil-ONU e Consórcio Amazônia Legal, já reunidos no repositório), a diretrizes de comunicação visual da UNESCO e da SEMA/AC, e ao apoio da equipe de coordenação para validação de conteúdo, aprovação da regra de privacidade de dados, priorização de indicadores e definição do ambiente de publicação. A coordenação se reunirá quinzenalmente com o consultor para acompanhamento da execução.</w:t>
      </w:r>
    </w:p>
    <w:p>
      <w:pPr>
        <w:pStyle w:val="Heading1"/>
      </w:pPr>
      <w:r>
        <w:t>5. REQUISITOS MÍNIMOS DE QUALIFICAÇÃO</w:t>
      </w:r>
    </w:p>
    <w:p>
      <w:pPr>
        <w:pStyle w:val="Heading2"/>
      </w:pPr>
      <w:r>
        <w:t>Requisitos Mínimos de Qualificação</w:t>
      </w:r>
    </w:p>
    <w:p>
      <w:pPr>
        <w:pStyle w:val="Heading3"/>
      </w:pPr>
      <w:r>
        <w:t>Obrigatórios</w:t>
      </w:r>
    </w:p>
    <w:p>
      <w:pPr>
        <w:numPr>
          <w:ilvl w:val="0"/>
          <w:numId w:val="1"/>
        </w:numPr>
        <w:ind w:left="714" w:hanging="357"/>
        <w:jc w:val="both"/>
      </w:pPr>
      <w:r>
        <w:t>Formação de nível superior completo em Ciência da Computação, Sistemas de Informação, Design, Comunicação Digital ou áreas correlatas, ou experiência profissional comprovada equivalente.</w:t>
      </w:r>
    </w:p>
    <w:p>
      <w:pPr>
        <w:numPr>
          <w:ilvl w:val="0"/>
          <w:numId w:val="1"/>
        </w:numPr>
        <w:ind w:left="714" w:hanging="357"/>
        <w:jc w:val="both"/>
      </w:pPr>
      <w:r>
        <w:t>Experiência profissional mínima de 3 (três) anos em desenvolvimento de sites e/ou aplicações web front-end (HTML5, CSS3, JavaScript), com portfólio comprovável de projetos publicados.</w:t>
      </w:r>
    </w:p>
    <w:p>
      <w:pPr>
        <w:numPr>
          <w:ilvl w:val="0"/>
          <w:numId w:val="1"/>
        </w:numPr>
        <w:ind w:left="714" w:hanging="357"/>
        <w:jc w:val="both"/>
      </w:pPr>
      <w:r>
        <w:t>Experiência comprovada em design de interfaces (UI/UX), incluindo prototipagem e testes de usabilidade.</w:t>
      </w:r>
    </w:p>
    <w:p>
      <w:pPr>
        <w:numPr>
          <w:ilvl w:val="0"/>
          <w:numId w:val="1"/>
        </w:numPr>
        <w:ind w:left="714" w:hanging="357"/>
        <w:jc w:val="both"/>
      </w:pPr>
      <w:r>
        <w:t>Conhecimento em integração de interfaces web com bancos de dados e back-ends (APIs REST, Supabase, Firebase ou similares).</w:t>
      </w:r>
    </w:p>
    <w:p>
      <w:pPr>
        <w:pStyle w:val="Heading3"/>
      </w:pPr>
      <w:r>
        <w:t>Desejáveis</w:t>
      </w:r>
    </w:p>
    <w:p>
      <w:pPr>
        <w:numPr>
          <w:ilvl w:val="0"/>
          <w:numId w:val="1"/>
        </w:numPr>
        <w:ind w:left="714" w:hanging="357"/>
        <w:jc w:val="both"/>
      </w:pPr>
      <w:r>
        <w:t>Experiência prévia em projetos de transparência pública, prestação de contas, dashboards de indicadores ou plataformas de monitoramento socioambiental.</w:t>
      </w:r>
    </w:p>
    <w:p>
      <w:pPr>
        <w:numPr>
          <w:ilvl w:val="0"/>
          <w:numId w:val="1"/>
        </w:numPr>
        <w:ind w:left="714" w:hanging="357"/>
        <w:jc w:val="both"/>
      </w:pPr>
      <w:r>
        <w:t>Conhecimento de temas ambientais (unidades de conservação, regularização ambiental, projetos financiados por organismos internacionais/ONU).</w:t>
      </w:r>
    </w:p>
    <w:p>
      <w:pPr>
        <w:numPr>
          <w:ilvl w:val="0"/>
          <w:numId w:val="1"/>
        </w:numPr>
        <w:ind w:left="714" w:hanging="357"/>
        <w:jc w:val="both"/>
      </w:pPr>
      <w:r>
        <w:t>Familiaridade com Supabase (PostgreSQL, Auth, RLS e Edge Functions em Deno/TypeScript).</w:t>
      </w:r>
    </w:p>
    <w:p>
      <w:pPr>
        <w:numPr>
          <w:ilvl w:val="0"/>
          <w:numId w:val="1"/>
        </w:numPr>
        <w:ind w:left="714" w:hanging="357"/>
        <w:jc w:val="both"/>
      </w:pPr>
      <w:r>
        <w:t>Experiência com bibliotecas de mapas interativos (Leaflet ou similar) e de visualização de dados (Chart.js, D3 ou similar).</w:t>
      </w:r>
    </w:p>
    <w:p>
      <w:pPr>
        <w:numPr>
          <w:ilvl w:val="0"/>
          <w:numId w:val="1"/>
        </w:numPr>
        <w:ind w:left="714" w:hanging="357"/>
        <w:jc w:val="both"/>
      </w:pPr>
      <w:r>
        <w:t>Conhecimento de acessibilidade digital (WCAG) e boas práticas de SEO técnico.</w:t>
      </w:r>
    </w:p>
    <w:p>
      <w:pPr>
        <w:numPr>
          <w:ilvl w:val="0"/>
          <w:numId w:val="1"/>
        </w:numPr>
        <w:ind w:left="714" w:hanging="357"/>
        <w:jc w:val="both"/>
      </w:pPr>
      <w:r>
        <w:t>Conhecimento de inglês e/ou espanhol para eventual adequação de conteúdo a públicos internacionais (UNESCO/ONU).</w:t>
      </w:r>
    </w:p>
    <w:p>
      <w:pPr>
        <w:pStyle w:val="Heading3"/>
      </w:pPr>
      <w:r>
        <w:t>Competências Técnicas e Comportamentais</w:t>
      </w:r>
    </w:p>
    <w:p>
      <w:pPr>
        <w:numPr>
          <w:ilvl w:val="0"/>
          <w:numId w:val="1"/>
        </w:numPr>
        <w:ind w:left="714" w:hanging="357"/>
        <w:jc w:val="both"/>
      </w:pPr>
      <w:r>
        <w:t>Capacidade de traduzir dados técnicos e ambientais complexos em narrativas visuais claras para o público em geral.</w:t>
      </w:r>
    </w:p>
    <w:p>
      <w:pPr>
        <w:numPr>
          <w:ilvl w:val="0"/>
          <w:numId w:val="1"/>
        </w:numPr>
        <w:ind w:left="714" w:hanging="357"/>
        <w:jc w:val="both"/>
      </w:pPr>
      <w:r>
        <w:t>Autonomia, organização e cumprimento de prazos em regime de consultoria remota.</w:t>
      </w:r>
    </w:p>
    <w:p>
      <w:pPr>
        <w:numPr>
          <w:ilvl w:val="0"/>
          <w:numId w:val="1"/>
        </w:numPr>
        <w:ind w:left="714" w:hanging="357"/>
        <w:jc w:val="both"/>
      </w:pPr>
      <w:r>
        <w:t>Boa comunicação com equipes técnicas e com a coordenação institucional do projeto.</w:t>
      </w:r>
    </w:p>
    <w:p>
      <w:pPr>
        <w:numPr>
          <w:ilvl w:val="0"/>
          <w:numId w:val="1"/>
        </w:numPr>
        <w:ind w:left="714" w:hanging="357"/>
        <w:jc w:val="both"/>
      </w:pPr>
      <w:r>
        <w:t>Atenção à precisão dos dados exibidos publicamente e ao sigilo de informações sensíveis ou pessoais.</w:t>
      </w:r>
    </w:p>
    <w:p>
      <w:pPr>
        <w:pStyle w:val="Heading1"/>
      </w:pPr>
      <w:r>
        <w:t>6. LOCAL DE TRABALHO</w:t>
      </w:r>
    </w:p>
    <w:p>
      <w:pPr/>
      <w:r>
        <w:rPr>
          <w:b w:val="0"/>
          <w:i w:val="0"/>
        </w:rPr>
        <w:t>Trabalho remoto, com interlocução periódica (presencial ou virtual) com a equipe da SEMA/AC, em Rio Branco/AC, conforme necessidade da coordenação do projeto.</w:t>
      </w:r>
    </w:p>
    <w:p>
      <w:pPr>
        <w:pStyle w:val="Heading1"/>
      </w:pPr>
      <w:r>
        <w:t>7. TABELA DE CRITÉRIOS DE AVALIAÇÃO (Modelo Consolidado – 4 Critérios)</w:t>
      </w:r>
    </w:p>
    <w:p>
      <w:pPr/>
      <w:r>
        <w:rPr>
          <w:b w:val="0"/>
          <w:i w:val="0"/>
        </w:rPr>
        <w:t>O processo de seleção do(a) Consultor(a) Individual será conduzido em duas etapas:</w:t>
      </w:r>
    </w:p>
    <w:p>
      <w:pPr>
        <w:numPr>
          <w:ilvl w:val="0"/>
          <w:numId w:val="1"/>
        </w:numPr>
        <w:ind w:left="714" w:hanging="357"/>
        <w:jc w:val="both"/>
      </w:pPr>
      <w:r>
        <w:t>Triagem curricular e verificação documental;</w:t>
      </w:r>
    </w:p>
    <w:p>
      <w:pPr>
        <w:numPr>
          <w:ilvl w:val="0"/>
          <w:numId w:val="1"/>
        </w:numPr>
        <w:ind w:left="714" w:hanging="357"/>
        <w:jc w:val="both"/>
      </w:pPr>
      <w:r>
        <w:t>Avaliação técnica e de experiência profissional, com pontuação conforme os critérios a seguir.</w:t>
      </w:r>
    </w:p>
    <w:p>
      <w:pPr/>
      <w:r>
        <w:rPr>
          <w:b w:val="0"/>
          <w:i w:val="0"/>
        </w:rPr>
        <w:t>Serão aceitos apenas documentos comprobatórios oficiais, tais como diplomas, certificados, declarações institucionais, contratos, portfólio de projetos publicados ou relatórios técnicos assinados.</w:t>
      </w:r>
    </w:p>
    <w:tbl>
      <w:tblPr>
        <w:tblStyle w:val="Table3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val="clear" w:fill="CCCCCC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2257"/>
            <w:shd w:val="clear" w:fill="CCCCCC"/>
          </w:tcPr>
          <w:p>
            <w:r/>
            <w:r>
              <w:rPr>
                <w:b/>
              </w:rPr>
              <w:t>Critério de Avaliação</w:t>
            </w:r>
          </w:p>
        </w:tc>
        <w:tc>
          <w:tcPr>
            <w:tcW w:type="dxa" w:w="2257"/>
            <w:shd w:val="clear" w:fill="CCCCCC"/>
          </w:tcPr>
          <w:p>
            <w:r/>
            <w:r>
              <w:rPr>
                <w:b/>
              </w:rPr>
              <w:t>Descrição e Forma de Comprovação</w:t>
            </w:r>
          </w:p>
        </w:tc>
        <w:tc>
          <w:tcPr>
            <w:tcW w:type="dxa" w:w="2257"/>
            <w:shd w:val="clear" w:fill="CCCCCC"/>
          </w:tcPr>
          <w:p>
            <w:r/>
            <w:r>
              <w:rPr>
                <w:b/>
              </w:rPr>
              <w:t>Pontuação Máxima</w:t>
            </w:r>
          </w:p>
        </w:tc>
      </w:tr>
      <w:tr>
        <w:tc>
          <w:tcPr>
            <w:tcW w:type="dxa" w:w="225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Formação Acadêmica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Curso superior completo em Tecnologia, Design, Comunicação Digital ou áreas correlatas.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20 pontos</w:t>
            </w:r>
          </w:p>
        </w:tc>
      </w:tr>
      <w:tr>
        <w:tc>
          <w:tcPr>
            <w:tcW w:type="dxa" w:w="2257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Experiência Profissional em Desenvolvimento Web e UI/UX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Portfólio comprovado de sites e/ou aplicações desenvolvidas, com ênfase em design de interface e experiência do usuário, comprovado por links, contratos ou declarações.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30 pontos</w:t>
            </w:r>
          </w:p>
        </w:tc>
      </w:tr>
      <w:tr>
        <w:tc>
          <w:tcPr>
            <w:tcW w:type="dxa" w:w="2257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Experiência com Dados, Transparência e Projetos Socioambientais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Atuação comprovada em projetos de visualização de dados, dashboards, prestação de contas pública ou projetos ambientais/de cooperação internacional, demonstrada por declarações institucionais, contratos ou prestação de serviço.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30 pontos</w:t>
            </w:r>
          </w:p>
        </w:tc>
      </w:tr>
      <w:tr>
        <w:tc>
          <w:tcPr>
            <w:tcW w:type="dxa" w:w="2257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Titulação Complementar e Certificações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Certificados emitidos por instituição reconhecida, em áreas correlatas a desenvolvimento web, UX/UI ou acessibilidade digital.</w:t>
              <w:br/>
              <w:t>• Certificação/curso (1) – Mínimo 5 pts</w:t>
              <w:br/>
              <w:t>• Certificações (2 ou mais) – Máximo 10 pts</w:t>
              <w:br/>
              <w:t>• Pós-graduação na área – 20 pts</w:t>
            </w:r>
          </w:p>
        </w:tc>
        <w:tc>
          <w:tcPr>
            <w:tcW w:type="dxa" w:w="2257"/>
          </w:tcPr>
          <w:p>
            <w:r/>
            <w:r>
              <w:rPr>
                <w:b w:val="0"/>
              </w:rPr>
              <w:t>20 pontos</w:t>
            </w:r>
          </w:p>
        </w:tc>
      </w:tr>
      <w:tr>
        <w:tc>
          <w:tcPr>
            <w:tcW w:type="dxa" w:w="2257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257"/>
          </w:tcPr>
          <w:p>
            <w:r/>
            <w:r>
              <w:rPr>
                <w:b/>
              </w:rPr>
            </w:r>
          </w:p>
        </w:tc>
        <w:tc>
          <w:tcPr>
            <w:tcW w:type="dxa" w:w="2257"/>
          </w:tcPr>
          <w:p>
            <w:r/>
            <w:r>
              <w:rPr>
                <w:b/>
              </w:rPr>
            </w:r>
          </w:p>
        </w:tc>
        <w:tc>
          <w:tcPr>
            <w:tcW w:type="dxa" w:w="2257"/>
          </w:tcPr>
          <w:p>
            <w:r/>
            <w:r>
              <w:rPr>
                <w:b/>
              </w:rPr>
              <w:t>100 pontos</w:t>
            </w:r>
          </w:p>
        </w:tc>
      </w:tr>
    </w:tbl>
    <w:p>
      <w:pPr/>
    </w:p>
    <w:p>
      <w:pPr>
        <w:pStyle w:val="Heading1"/>
      </w:pPr>
      <w:r>
        <w:t>Anexo I – Modelos de Relatórios Técnicos Parciais e Final</w:t>
      </w:r>
    </w:p>
    <w:p>
      <w:pPr/>
      <w:r>
        <w:rPr>
          <w:b w:val="0"/>
          <w:i w:val="0"/>
        </w:rPr>
        <w:t>Os relatórios técnicos parciais e final, resultantes dos produtos descritos acima, deverão possuir, ao menos, a seguinte estrutura:</w:t>
      </w:r>
    </w:p>
    <w:p>
      <w:pPr>
        <w:numPr>
          <w:ilvl w:val="0"/>
          <w:numId w:val="1"/>
        </w:numPr>
        <w:ind w:left="714" w:hanging="357"/>
        <w:jc w:val="both"/>
      </w:pPr>
      <w:r>
        <w:t>Introdução</w:t>
      </w:r>
    </w:p>
    <w:p>
      <w:pPr>
        <w:numPr>
          <w:ilvl w:val="0"/>
          <w:numId w:val="1"/>
        </w:numPr>
        <w:ind w:left="714" w:hanging="357"/>
        <w:jc w:val="both"/>
      </w:pPr>
      <w:r>
        <w:t>Objetivos gerais e específicos</w:t>
      </w:r>
    </w:p>
    <w:p>
      <w:pPr>
        <w:numPr>
          <w:ilvl w:val="0"/>
          <w:numId w:val="1"/>
        </w:numPr>
        <w:ind w:left="714" w:hanging="357"/>
        <w:jc w:val="both"/>
      </w:pPr>
      <w:r>
        <w:t>Metodologia</w:t>
      </w:r>
    </w:p>
    <w:p>
      <w:pPr>
        <w:numPr>
          <w:ilvl w:val="0"/>
          <w:numId w:val="1"/>
        </w:numPr>
        <w:ind w:left="714" w:hanging="357"/>
        <w:jc w:val="both"/>
      </w:pPr>
      <w:r>
        <w:t>Levantamento realizado/atividades executadas</w:t>
      </w:r>
    </w:p>
    <w:p>
      <w:pPr>
        <w:numPr>
          <w:ilvl w:val="0"/>
          <w:numId w:val="1"/>
        </w:numPr>
        <w:ind w:left="714" w:hanging="357"/>
        <w:jc w:val="both"/>
      </w:pPr>
      <w:r>
        <w:t>Análise e discussão</w:t>
      </w:r>
    </w:p>
    <w:p>
      <w:pPr>
        <w:numPr>
          <w:ilvl w:val="0"/>
          <w:numId w:val="1"/>
        </w:numPr>
        <w:ind w:left="714" w:hanging="357"/>
        <w:jc w:val="both"/>
      </w:pPr>
      <w:r>
        <w:t>Considerações finais/Conclusão</w:t>
      </w:r>
    </w:p>
    <w:p>
      <w:pPr>
        <w:numPr>
          <w:ilvl w:val="0"/>
          <w:numId w:val="1"/>
        </w:numPr>
        <w:ind w:left="714" w:hanging="357"/>
        <w:jc w:val="both"/>
      </w:pPr>
      <w:r>
        <w:t>Anexos/apêndices</w:t>
      </w:r>
    </w:p>
    <w:p>
      <w:pPr/>
      <w:r>
        <w:rPr>
          <w:b w:val="0"/>
          <w:i w:val="0"/>
        </w:rPr>
        <w:t>Os relatórios deverão ser escritos seguindo as regras padrão da ABNT.</w:t>
      </w:r>
    </w:p>
    <w:sectPr>
      <w:head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spacing w:after="240" w:before="240" w:lineRule="auto"/>
      <w:jc w:val="right"/>
      <w:rPr/>
    </w:pPr>
    <w:r w:rsidDel="00000000" w:rsidR="00000000" w:rsidRPr="00000000">
      <w:rPr>
        <w:sz w:val="20"/>
        <w:szCs w:val="20"/>
        <w:rtl w:val="0"/>
      </w:rPr>
      <w:t>TDR – Comunicação e Visibilidade [Nº A DEFINIR]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lowerRoman"/>
      <w:lvlText w:val="(%1)"/>
      <w:lvlJc w:val="left"/>
      <w:pPr>
        <w:ind w:left="780" w:hanging="720"/>
      </w:pPr>
      <w:rPr>
        <w:b w:val="1"/>
        <w:bCs w:val="1"/>
      </w:rPr>
    </w:lvl>
    <w:lvl w:ilvl="1">
      <w:start w:val="1"/>
      <w:numFmt w:val="lowerLetter"/>
      <w:lvlText w:val="%2."/>
      <w:lvlJc w:val="left"/>
      <w:pPr>
        <w:ind w:left="1140" w:hanging="360"/>
      </w:pPr>
      <w:rPr/>
    </w:lvl>
    <w:lvl w:ilvl="2">
      <w:start w:val="1"/>
      <w:numFmt w:val="lowerRoman"/>
      <w:lvlText w:val="%3."/>
      <w:lvlJc w:val="right"/>
      <w:pPr>
        <w:ind w:left="1860" w:hanging="180"/>
      </w:pPr>
      <w:rPr/>
    </w:lvl>
    <w:lvl w:ilvl="3">
      <w:start w:val="1"/>
      <w:numFmt w:val="decimal"/>
      <w:lvlText w:val="%4."/>
      <w:lvlJc w:val="left"/>
      <w:pPr>
        <w:ind w:left="2580" w:hanging="360"/>
      </w:pPr>
      <w:rPr/>
    </w:lvl>
    <w:lvl w:ilvl="4">
      <w:start w:val="1"/>
      <w:numFmt w:val="lowerLetter"/>
      <w:lvlText w:val="%5."/>
      <w:lvlJc w:val="left"/>
      <w:pPr>
        <w:ind w:left="3300" w:hanging="360"/>
      </w:pPr>
      <w:rPr/>
    </w:lvl>
    <w:lvl w:ilvl="5">
      <w:start w:val="1"/>
      <w:numFmt w:val="lowerRoman"/>
      <w:lvlText w:val="%6."/>
      <w:lvlJc w:val="right"/>
      <w:pPr>
        <w:ind w:left="4020" w:hanging="180"/>
      </w:pPr>
      <w:rPr/>
    </w:lvl>
    <w:lvl w:ilvl="6">
      <w:start w:val="1"/>
      <w:numFmt w:val="decimal"/>
      <w:lvlText w:val="%7."/>
      <w:lvlJc w:val="left"/>
      <w:pPr>
        <w:ind w:left="4740" w:hanging="360"/>
      </w:pPr>
      <w:rPr/>
    </w:lvl>
    <w:lvl w:ilvl="7">
      <w:start w:val="1"/>
      <w:numFmt w:val="lowerLetter"/>
      <w:lvlText w:val="%8."/>
      <w:lvlJc w:val="left"/>
      <w:pPr>
        <w:ind w:left="5460" w:hanging="360"/>
      </w:pPr>
      <w:rPr/>
    </w:lvl>
    <w:lvl w:ilvl="8">
      <w:start w:val="1"/>
      <w:numFmt w:val="lowerRoman"/>
      <w:lvlText w:val="%9."/>
      <w:lvlJc w:val="right"/>
      <w:pPr>
        <w:ind w:left="6180" w:hanging="180"/>
      </w:pPr>
      <w:rPr/>
    </w:lvl>
  </w:abstractNum>
  <w:abstractNum w:abstractNumId="4">
    <w:lvl w:ilvl="0">
      <w:start w:val="2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86" w:hanging="360.00000000000006"/>
      </w:pPr>
      <w:rPr/>
    </w:lvl>
    <w:lvl w:ilvl="2">
      <w:start w:val="1"/>
      <w:numFmt w:val="decimal"/>
      <w:lvlText w:val="%1.%2.%3"/>
      <w:lvlJc w:val="left"/>
      <w:pPr>
        <w:ind w:left="1572" w:hanging="720.0000000000001"/>
      </w:pPr>
      <w:rPr/>
    </w:lvl>
    <w:lvl w:ilvl="3">
      <w:start w:val="1"/>
      <w:numFmt w:val="decimal"/>
      <w:lvlText w:val="%1.%2.%3.%4"/>
      <w:lvlJc w:val="left"/>
      <w:pPr>
        <w:ind w:left="1998" w:hanging="720"/>
      </w:pPr>
      <w:rPr/>
    </w:lvl>
    <w:lvl w:ilvl="4">
      <w:start w:val="1"/>
      <w:numFmt w:val="decimal"/>
      <w:lvlText w:val="%1.%2.%3.%4.%5"/>
      <w:lvlJc w:val="left"/>
      <w:pPr>
        <w:ind w:left="2784" w:hanging="1080.0000000000002"/>
      </w:pPr>
      <w:rPr/>
    </w:lvl>
    <w:lvl w:ilvl="5">
      <w:start w:val="1"/>
      <w:numFmt w:val="decimal"/>
      <w:lvlText w:val="%1.%2.%3.%4.%5.%6"/>
      <w:lvlJc w:val="left"/>
      <w:pPr>
        <w:ind w:left="3210" w:hanging="1080"/>
      </w:pPr>
      <w:rPr/>
    </w:lvl>
    <w:lvl w:ilvl="6">
      <w:start w:val="1"/>
      <w:numFmt w:val="decimal"/>
      <w:lvlText w:val="%1.%2.%3.%4.%5.%6.%7"/>
      <w:lvlJc w:val="left"/>
      <w:pPr>
        <w:ind w:left="3996" w:hanging="1440"/>
      </w:pPr>
      <w:rPr/>
    </w:lvl>
    <w:lvl w:ilvl="7">
      <w:start w:val="1"/>
      <w:numFmt w:val="decimal"/>
      <w:lvlText w:val="%1.%2.%3.%4.%5.%6.%7.%8"/>
      <w:lvlJc w:val="left"/>
      <w:pPr>
        <w:ind w:left="4422" w:hanging="1440"/>
      </w:pPr>
      <w:rPr/>
    </w:lvl>
    <w:lvl w:ilvl="8">
      <w:start w:val="1"/>
      <w:numFmt w:val="decimal"/>
      <w:lvlText w:val="%1.%2.%3.%4.%5.%6.%7.%8.%9"/>
      <w:lvlJc w:val="left"/>
      <w:pPr>
        <w:ind w:left="5208" w:hanging="1800.0000000000005"/>
      </w:pPr>
      <w:rPr/>
    </w:lvl>
  </w:abstractNum>
  <w:abstractNum w:abstractNumId="5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86" w:hanging="360.00000000000006"/>
      </w:pPr>
      <w:rPr/>
    </w:lvl>
    <w:lvl w:ilvl="2">
      <w:start w:val="1"/>
      <w:numFmt w:val="decimal"/>
      <w:lvlText w:val="%1.%2.%3"/>
      <w:lvlJc w:val="left"/>
      <w:pPr>
        <w:ind w:left="1572" w:hanging="720.0000000000001"/>
      </w:pPr>
      <w:rPr/>
    </w:lvl>
    <w:lvl w:ilvl="3">
      <w:start w:val="1"/>
      <w:numFmt w:val="decimal"/>
      <w:lvlText w:val="%1.%2.%3.%4"/>
      <w:lvlJc w:val="left"/>
      <w:pPr>
        <w:ind w:left="1998" w:hanging="720"/>
      </w:pPr>
      <w:rPr/>
    </w:lvl>
    <w:lvl w:ilvl="4">
      <w:start w:val="1"/>
      <w:numFmt w:val="decimal"/>
      <w:lvlText w:val="%1.%2.%3.%4.%5"/>
      <w:lvlJc w:val="left"/>
      <w:pPr>
        <w:ind w:left="2784" w:hanging="1080.0000000000002"/>
      </w:pPr>
      <w:rPr/>
    </w:lvl>
    <w:lvl w:ilvl="5">
      <w:start w:val="1"/>
      <w:numFmt w:val="decimal"/>
      <w:lvlText w:val="%1.%2.%3.%4.%5.%6"/>
      <w:lvlJc w:val="left"/>
      <w:pPr>
        <w:ind w:left="3210" w:hanging="1080"/>
      </w:pPr>
      <w:rPr/>
    </w:lvl>
    <w:lvl w:ilvl="6">
      <w:start w:val="1"/>
      <w:numFmt w:val="decimal"/>
      <w:lvlText w:val="%1.%2.%3.%4.%5.%6.%7"/>
      <w:lvlJc w:val="left"/>
      <w:pPr>
        <w:ind w:left="3996" w:hanging="1440"/>
      </w:pPr>
      <w:rPr/>
    </w:lvl>
    <w:lvl w:ilvl="7">
      <w:start w:val="1"/>
      <w:numFmt w:val="decimal"/>
      <w:lvlText w:val="%1.%2.%3.%4.%5.%6.%7.%8"/>
      <w:lvlJc w:val="left"/>
      <w:pPr>
        <w:ind w:left="4422" w:hanging="1440"/>
      </w:pPr>
      <w:rPr/>
    </w:lvl>
    <w:lvl w:ilvl="8">
      <w:start w:val="1"/>
      <w:numFmt w:val="decimal"/>
      <w:lvlText w:val="%1.%2.%3.%4.%5.%6.%7.%8.%9"/>
      <w:lvlJc w:val="left"/>
      <w:pPr>
        <w:ind w:left="5208" w:hanging="1800.0000000000005"/>
      </w:pPr>
      <w:rPr/>
    </w:lvl>
  </w:abstractNum>
  <w:abstractNum w:abstractNumId="6">
    <w:lvl w:ilvl="0">
      <w:start w:val="3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86" w:hanging="360.00000000000006"/>
      </w:pPr>
      <w:rPr/>
    </w:lvl>
    <w:lvl w:ilvl="2">
      <w:start w:val="1"/>
      <w:numFmt w:val="decimal"/>
      <w:lvlText w:val="%1.%2.%3"/>
      <w:lvlJc w:val="left"/>
      <w:pPr>
        <w:ind w:left="1572" w:hanging="720.0000000000001"/>
      </w:pPr>
      <w:rPr/>
    </w:lvl>
    <w:lvl w:ilvl="3">
      <w:start w:val="1"/>
      <w:numFmt w:val="decimal"/>
      <w:lvlText w:val="%1.%2.%3.%4"/>
      <w:lvlJc w:val="left"/>
      <w:pPr>
        <w:ind w:left="1998" w:hanging="720"/>
      </w:pPr>
      <w:rPr/>
    </w:lvl>
    <w:lvl w:ilvl="4">
      <w:start w:val="1"/>
      <w:numFmt w:val="decimal"/>
      <w:lvlText w:val="%1.%2.%3.%4.%5"/>
      <w:lvlJc w:val="left"/>
      <w:pPr>
        <w:ind w:left="2784" w:hanging="1080.0000000000002"/>
      </w:pPr>
      <w:rPr/>
    </w:lvl>
    <w:lvl w:ilvl="5">
      <w:start w:val="1"/>
      <w:numFmt w:val="decimal"/>
      <w:lvlText w:val="%1.%2.%3.%4.%5.%6"/>
      <w:lvlJc w:val="left"/>
      <w:pPr>
        <w:ind w:left="3210" w:hanging="1080"/>
      </w:pPr>
      <w:rPr/>
    </w:lvl>
    <w:lvl w:ilvl="6">
      <w:start w:val="1"/>
      <w:numFmt w:val="decimal"/>
      <w:lvlText w:val="%1.%2.%3.%4.%5.%6.%7"/>
      <w:lvlJc w:val="left"/>
      <w:pPr>
        <w:ind w:left="3996" w:hanging="1440"/>
      </w:pPr>
      <w:rPr/>
    </w:lvl>
    <w:lvl w:ilvl="7">
      <w:start w:val="1"/>
      <w:numFmt w:val="decimal"/>
      <w:lvlText w:val="%1.%2.%3.%4.%5.%6.%7.%8"/>
      <w:lvlJc w:val="left"/>
      <w:pPr>
        <w:ind w:left="4422" w:hanging="1440"/>
      </w:pPr>
      <w:rPr/>
    </w:lvl>
    <w:lvl w:ilvl="8">
      <w:start w:val="1"/>
      <w:numFmt w:val="decimal"/>
      <w:lvlText w:val="%1.%2.%3.%4.%5.%6.%7.%8.%9"/>
      <w:lvlJc w:val="left"/>
      <w:pPr>
        <w:ind w:left="5208" w:hanging="1800.0000000000005"/>
      </w:pPr>
      <w:rPr/>
    </w:lvl>
  </w:abstractNum>
  <w:abstractNum w:abstractNumId="7">
    <w:lvl w:ilvl="0">
      <w:start w:val="4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86" w:hanging="360.00000000000006"/>
      </w:pPr>
      <w:rPr/>
    </w:lvl>
    <w:lvl w:ilvl="2">
      <w:start w:val="1"/>
      <w:numFmt w:val="decimal"/>
      <w:lvlText w:val="%1.%2.%3"/>
      <w:lvlJc w:val="left"/>
      <w:pPr>
        <w:ind w:left="1572" w:hanging="720.0000000000001"/>
      </w:pPr>
      <w:rPr/>
    </w:lvl>
    <w:lvl w:ilvl="3">
      <w:start w:val="1"/>
      <w:numFmt w:val="decimal"/>
      <w:lvlText w:val="%1.%2.%3.%4"/>
      <w:lvlJc w:val="left"/>
      <w:pPr>
        <w:ind w:left="1998" w:hanging="720"/>
      </w:pPr>
      <w:rPr/>
    </w:lvl>
    <w:lvl w:ilvl="4">
      <w:start w:val="1"/>
      <w:numFmt w:val="decimal"/>
      <w:lvlText w:val="%1.%2.%3.%4.%5"/>
      <w:lvlJc w:val="left"/>
      <w:pPr>
        <w:ind w:left="2784" w:hanging="1080.0000000000002"/>
      </w:pPr>
      <w:rPr/>
    </w:lvl>
    <w:lvl w:ilvl="5">
      <w:start w:val="1"/>
      <w:numFmt w:val="decimal"/>
      <w:lvlText w:val="%1.%2.%3.%4.%5.%6"/>
      <w:lvlJc w:val="left"/>
      <w:pPr>
        <w:ind w:left="3210" w:hanging="1080"/>
      </w:pPr>
      <w:rPr/>
    </w:lvl>
    <w:lvl w:ilvl="6">
      <w:start w:val="1"/>
      <w:numFmt w:val="decimal"/>
      <w:lvlText w:val="%1.%2.%3.%4.%5.%6.%7"/>
      <w:lvlJc w:val="left"/>
      <w:pPr>
        <w:ind w:left="3996" w:hanging="1440"/>
      </w:pPr>
      <w:rPr/>
    </w:lvl>
    <w:lvl w:ilvl="7">
      <w:start w:val="1"/>
      <w:numFmt w:val="decimal"/>
      <w:lvlText w:val="%1.%2.%3.%4.%5.%6.%7.%8"/>
      <w:lvlJc w:val="left"/>
      <w:pPr>
        <w:ind w:left="4422" w:hanging="1440"/>
      </w:pPr>
      <w:rPr/>
    </w:lvl>
    <w:lvl w:ilvl="8">
      <w:start w:val="1"/>
      <w:numFmt w:val="decimal"/>
      <w:lvlText w:val="%1.%2.%3.%4.%5.%6.%7.%8.%9"/>
      <w:lvlJc w:val="left"/>
      <w:pPr>
        <w:ind w:left="5208" w:hanging="1800.0000000000005"/>
      </w:pPr>
      <w:rPr/>
    </w:lvl>
  </w:abstractNum>
  <w:abstractNum w:abstractNumId="8">
    <w:lvl w:ilvl="0">
      <w:start w:val="5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86" w:hanging="360.00000000000006"/>
      </w:pPr>
      <w:rPr/>
    </w:lvl>
    <w:lvl w:ilvl="2">
      <w:start w:val="1"/>
      <w:numFmt w:val="decimal"/>
      <w:lvlText w:val="%1.%2.%3"/>
      <w:lvlJc w:val="left"/>
      <w:pPr>
        <w:ind w:left="1572" w:hanging="720.0000000000001"/>
      </w:pPr>
      <w:rPr/>
    </w:lvl>
    <w:lvl w:ilvl="3">
      <w:start w:val="1"/>
      <w:numFmt w:val="decimal"/>
      <w:lvlText w:val="%1.%2.%3.%4"/>
      <w:lvlJc w:val="left"/>
      <w:pPr>
        <w:ind w:left="1998" w:hanging="720"/>
      </w:pPr>
      <w:rPr/>
    </w:lvl>
    <w:lvl w:ilvl="4">
      <w:start w:val="1"/>
      <w:numFmt w:val="decimal"/>
      <w:lvlText w:val="%1.%2.%3.%4.%5"/>
      <w:lvlJc w:val="left"/>
      <w:pPr>
        <w:ind w:left="2784" w:hanging="1080.0000000000002"/>
      </w:pPr>
      <w:rPr/>
    </w:lvl>
    <w:lvl w:ilvl="5">
      <w:start w:val="1"/>
      <w:numFmt w:val="decimal"/>
      <w:lvlText w:val="%1.%2.%3.%4.%5.%6"/>
      <w:lvlJc w:val="left"/>
      <w:pPr>
        <w:ind w:left="3210" w:hanging="1080"/>
      </w:pPr>
      <w:rPr/>
    </w:lvl>
    <w:lvl w:ilvl="6">
      <w:start w:val="1"/>
      <w:numFmt w:val="decimal"/>
      <w:lvlText w:val="%1.%2.%3.%4.%5.%6.%7"/>
      <w:lvlJc w:val="left"/>
      <w:pPr>
        <w:ind w:left="3996" w:hanging="1440"/>
      </w:pPr>
      <w:rPr/>
    </w:lvl>
    <w:lvl w:ilvl="7">
      <w:start w:val="1"/>
      <w:numFmt w:val="decimal"/>
      <w:lvlText w:val="%1.%2.%3.%4.%5.%6.%7.%8"/>
      <w:lvlJc w:val="left"/>
      <w:pPr>
        <w:ind w:left="4422" w:hanging="1440"/>
      </w:pPr>
      <w:rPr/>
    </w:lvl>
    <w:lvl w:ilvl="8">
      <w:start w:val="1"/>
      <w:numFmt w:val="decimal"/>
      <w:lvlText w:val="%1.%2.%3.%4.%5.%6.%7.%8.%9"/>
      <w:lvlJc w:val="left"/>
      <w:pPr>
        <w:ind w:left="5208" w:hanging="1800.0000000000005"/>
      </w:pPr>
      <w:rPr/>
    </w:lvl>
  </w:abstractNum>
  <w:abstractNum w:abstractNumId="9">
    <w:lvl w:ilvl="0">
      <w:start w:val="6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86" w:hanging="360.00000000000006"/>
      </w:pPr>
      <w:rPr/>
    </w:lvl>
    <w:lvl w:ilvl="2">
      <w:start w:val="1"/>
      <w:numFmt w:val="decimal"/>
      <w:lvlText w:val="%1.%2.%3"/>
      <w:lvlJc w:val="left"/>
      <w:pPr>
        <w:ind w:left="1572" w:hanging="720.0000000000001"/>
      </w:pPr>
      <w:rPr/>
    </w:lvl>
    <w:lvl w:ilvl="3">
      <w:start w:val="1"/>
      <w:numFmt w:val="decimal"/>
      <w:lvlText w:val="%1.%2.%3.%4"/>
      <w:lvlJc w:val="left"/>
      <w:pPr>
        <w:ind w:left="1998" w:hanging="720"/>
      </w:pPr>
      <w:rPr/>
    </w:lvl>
    <w:lvl w:ilvl="4">
      <w:start w:val="1"/>
      <w:numFmt w:val="decimal"/>
      <w:lvlText w:val="%1.%2.%3.%4.%5"/>
      <w:lvlJc w:val="left"/>
      <w:pPr>
        <w:ind w:left="2784" w:hanging="1080.0000000000002"/>
      </w:pPr>
      <w:rPr/>
    </w:lvl>
    <w:lvl w:ilvl="5">
      <w:start w:val="1"/>
      <w:numFmt w:val="decimal"/>
      <w:lvlText w:val="%1.%2.%3.%4.%5.%6"/>
      <w:lvlJc w:val="left"/>
      <w:pPr>
        <w:ind w:left="3210" w:hanging="1080"/>
      </w:pPr>
      <w:rPr/>
    </w:lvl>
    <w:lvl w:ilvl="6">
      <w:start w:val="1"/>
      <w:numFmt w:val="decimal"/>
      <w:lvlText w:val="%1.%2.%3.%4.%5.%6.%7"/>
      <w:lvlJc w:val="left"/>
      <w:pPr>
        <w:ind w:left="3996" w:hanging="1440"/>
      </w:pPr>
      <w:rPr/>
    </w:lvl>
    <w:lvl w:ilvl="7">
      <w:start w:val="1"/>
      <w:numFmt w:val="decimal"/>
      <w:lvlText w:val="%1.%2.%3.%4.%5.%6.%7.%8"/>
      <w:lvlJc w:val="left"/>
      <w:pPr>
        <w:ind w:left="4422" w:hanging="1440"/>
      </w:pPr>
      <w:rPr/>
    </w:lvl>
    <w:lvl w:ilvl="8">
      <w:start w:val="1"/>
      <w:numFmt w:val="decimal"/>
      <w:lvlText w:val="%1.%2.%3.%4.%5.%6.%7.%8.%9"/>
      <w:lvlJc w:val="left"/>
      <w:pPr>
        <w:ind w:left="5208" w:hanging="1800.0000000000005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</w:tblPr>
  </w:style>
  <w:style w:type="table" w:styleId="a0" w:customStyle="1">
    <w:basedOn w:val="TableNormal"/>
    <w:tblPr>
      <w:tblStyleRowBandSize w:val="1"/>
      <w:tblStyleColBandSize w:val="1"/>
    </w:tblPr>
  </w:style>
  <w:style w:type="table" w:styleId="a1" w:customStyle="1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 w:val="1"/>
    <w:rsid w:val="006D2B7D"/>
    <w:pPr>
      <w:ind w:left="720"/>
      <w:contextualSpacing w:val="1"/>
    </w:pPr>
  </w:style>
  <w:style w:type="character" w:styleId="Ttulo2Char" w:customStyle="1">
    <w:name w:val="Título 2 Char"/>
    <w:basedOn w:val="Fontepargpadro"/>
    <w:link w:val="Ttulo2"/>
    <w:uiPriority w:val="9"/>
    <w:rsid w:val="000E47DB"/>
    <w:rPr>
      <w:sz w:val="32"/>
      <w:szCs w:val="32"/>
    </w:rPr>
  </w:style>
  <w:style w:type="character" w:styleId="Ttulo1Char" w:customStyle="1">
    <w:name w:val="Título 1 Char"/>
    <w:basedOn w:val="Fontepargpadro"/>
    <w:link w:val="Ttulo1"/>
    <w:uiPriority w:val="9"/>
    <w:rsid w:val="00357986"/>
    <w:rPr>
      <w:sz w:val="40"/>
      <w:szCs w:val="40"/>
    </w:rPr>
  </w:style>
  <w:style w:type="paragraph" w:styleId="NormalWeb">
    <w:name w:val="Normal (Web)"/>
    <w:basedOn w:val="Normal"/>
    <w:uiPriority w:val="99"/>
    <w:semiHidden w:val="1"/>
    <w:unhideWhenUsed w:val="1"/>
    <w:rsid w:val="009F73B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55ZjcmMvupQ+Q7JUtuMxiCPyTg==">CgMxLjAaHQoBMBIYChYIB0ISEhBBcmlhbCBVbmljb2RlIE1TGh0KATESGAoWCAdCEhIQQXJpYWwgVW5pY29kZSBNUzIOaC50ejN1dXNxM214ZDMyDWgub281c3V5b3hoemIyDmgueGEwcHVlZXpzbmx2Mg5oLnZiNm1ydGtxa2hnMjIOaC5jaThxODdvNWwzOHQyDmguNGZyNGQ3YnFva2l1Mg1oLnBxeGZiYXhobmlzMg5oLmdjZThpeTd0NXV2aDIOaC41MWZydXg0OXcxbWYyDmgucjZwOWM2dTMyamdhMg5oLnVtZWNrZ3lxcWp1MjIOaC44bXQ0Mjd5MXJhMDEyDmguZnpsNGt2N2RoZjdxMg5oLnZ4MmZ3MTFoeXY1cjIOaC5jMWJ4M2oydGptbXQyDmgueWhoZmh6Nmg0a3dhMg5oLmZkMzYyY2twZnR6ejgAciExS0ZmQ3M2TkdnWkZPbk5xN01SZE00dllEb054SmR3V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2026-01-08T00:24:00Z</dcterms:created>
  <dc:creator>HOMEWORK</dc:creator>
</cp:coreProperties>
</file>