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276"/>
        <w:jc w:val="left"/>
      </w:pPr>
      <w:r>
        <w:rPr>
          <w:rFonts w:ascii="Times New Roman" w:cs="Times New Roman" w:eastAsia="Times New Roman" w:hAnsi="Times New Roman"/>
          <w:b/>
          <w:bCs/>
          <w:sz w:val="24"/>
          <w:szCs w:val="24"/>
        </w:rPr>
        <w:t xml:space="preserve">Ofício nº ______/2026 – DIMA/SEMA-AC</w:t>
      </w:r>
    </w:p>
    <w:p>
      <w:pPr>
        <w:spacing w:after="360" w:line="276"/>
        <w:jc w:val="right"/>
      </w:pPr>
      <w:r>
        <w:rPr>
          <w:rFonts w:ascii="Times New Roman" w:cs="Times New Roman" w:eastAsia="Times New Roman" w:hAnsi="Times New Roman"/>
          <w:sz w:val="24"/>
          <w:szCs w:val="24"/>
        </w:rPr>
        <w:t xml:space="preserve">Rio Branco – AC, ______ de __________________ de 2026.</w:t>
      </w:r>
    </w:p>
    <w:p>
      <w:pPr>
        <w:spacing w:after="0" w:line="276"/>
        <w:jc w:val="left"/>
      </w:pPr>
      <w:r>
        <w:rPr>
          <w:rFonts w:ascii="Times New Roman" w:cs="Times New Roman" w:eastAsia="Times New Roman" w:hAnsi="Times New Roman"/>
          <w:b/>
          <w:bCs/>
          <w:sz w:val="24"/>
          <w:szCs w:val="24"/>
        </w:rPr>
        <w:t xml:space="preserve">À</w:t>
      </w:r>
    </w:p>
    <w:p>
      <w:pPr>
        <w:spacing w:after="0" w:line="276"/>
        <w:jc w:val="left"/>
      </w:pPr>
      <w:r>
        <w:rPr>
          <w:rFonts w:ascii="Times New Roman" w:cs="Times New Roman" w:eastAsia="Times New Roman" w:hAnsi="Times New Roman"/>
          <w:b/>
          <w:bCs/>
          <w:sz w:val="24"/>
          <w:szCs w:val="24"/>
        </w:rPr>
        <w:t xml:space="preserve">ACQUALIMP PRODUTOS QUÍMICOS LTDA. – QUILAB</w:t>
      </w:r>
    </w:p>
    <w:p>
      <w:pPr>
        <w:spacing w:after="0" w:line="276"/>
        <w:jc w:val="left"/>
      </w:pPr>
      <w:r>
        <w:rPr>
          <w:rFonts w:ascii="Times New Roman" w:cs="Times New Roman" w:eastAsia="Times New Roman" w:hAnsi="Times New Roman"/>
          <w:sz w:val="24"/>
          <w:szCs w:val="24"/>
        </w:rPr>
        <w:t xml:space="preserve">CNPJ 34.704.593/0001-99</w:t>
      </w:r>
    </w:p>
    <w:p>
      <w:pPr>
        <w:spacing w:after="0" w:line="276"/>
        <w:jc w:val="left"/>
      </w:pPr>
      <w:r>
        <w:rPr>
          <w:rFonts w:ascii="Times New Roman" w:cs="Times New Roman" w:eastAsia="Times New Roman" w:hAnsi="Times New Roman"/>
          <w:sz w:val="24"/>
          <w:szCs w:val="24"/>
        </w:rPr>
        <w:t xml:space="preserve">Av. Getúlio Vargas, 2090 – Bairro Bosque</w:t>
      </w:r>
    </w:p>
    <w:p>
      <w:pPr>
        <w:spacing w:after="0" w:line="276"/>
        <w:jc w:val="left"/>
      </w:pPr>
      <w:r>
        <w:rPr>
          <w:rFonts w:ascii="Times New Roman" w:cs="Times New Roman" w:eastAsia="Times New Roman" w:hAnsi="Times New Roman"/>
          <w:sz w:val="24"/>
          <w:szCs w:val="24"/>
        </w:rPr>
        <w:t xml:space="preserve">Rio Branco – AC, CEP 69.900-466</w:t>
      </w:r>
    </w:p>
    <w:p>
      <w:pPr>
        <w:spacing w:after="360" w:line="276"/>
        <w:jc w:val="left"/>
      </w:pPr>
      <w:r>
        <w:rPr>
          <w:rFonts w:ascii="Times New Roman" w:cs="Times New Roman" w:eastAsia="Times New Roman" w:hAnsi="Times New Roman"/>
          <w:i/>
          <w:iCs/>
          <w:sz w:val="24"/>
          <w:szCs w:val="24"/>
        </w:rPr>
        <w:t xml:space="preserve">A/C da Responsável Técnica</w:t>
      </w:r>
    </w:p>
    <w:p>
      <w:pPr>
        <w:spacing w:after="360" w:line="276"/>
        <w:jc w:val="both"/>
      </w:pPr>
      <w:r>
        <w:rPr>
          <w:rFonts w:ascii="Times New Roman" w:cs="Times New Roman" w:eastAsia="Times New Roman" w:hAnsi="Times New Roman"/>
          <w:b/>
          <w:bCs/>
          <w:sz w:val="24"/>
          <w:szCs w:val="24"/>
        </w:rPr>
        <w:t xml:space="preserve">Assunto: </w:t>
      </w:r>
      <w:r>
        <w:rPr>
          <w:rFonts w:ascii="Times New Roman" w:cs="Times New Roman" w:eastAsia="Times New Roman" w:hAnsi="Times New Roman"/>
          <w:b/>
          <w:bCs/>
          <w:sz w:val="24"/>
          <w:szCs w:val="24"/>
        </w:rPr>
        <w:t xml:space="preserve">solicitação de esclarecimento técnico sobre a base de reporte do Ortofosfato Dissolvido e sobre os resultados de Sólidos Suspensos nos laudos de monitoramento de qualidade da água.</w:t>
      </w:r>
    </w:p>
    <w:p>
      <w:pPr>
        <w:spacing w:after="240" w:line="276"/>
        <w:jc w:val="left"/>
      </w:pPr>
      <w:r>
        <w:rPr>
          <w:rFonts w:ascii="Times New Roman" w:cs="Times New Roman" w:eastAsia="Times New Roman" w:hAnsi="Times New Roman"/>
          <w:sz w:val="24"/>
          <w:szCs w:val="24"/>
        </w:rPr>
        <w:t xml:space="preserve">Senhores,</w:t>
      </w:r>
    </w:p>
    <w:p>
      <w:pPr>
        <w:spacing w:after="160" w:line="276"/>
        <w:ind w:left="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A Secretaria de Estado de Meio Ambiente do Acre, por meio da Diretoria de Monitoramento Ambiental, mantém série histórica de monitoramento da qualidade das águas superficiais do Estado, hoje consolidada em sistema próprio que calcula o Índice de Qualidade da Água (IQA) e afere a conformidade com a Resolução CONAMA nº 357/2005. Essa base reúne 450 coletas realizadas entre 2016 e 2026, analisadas por esse laboratório.</w:t>
      </w:r>
    </w:p>
    <w:p>
      <w:pPr>
        <w:spacing w:after="160" w:line="276"/>
        <w:ind w:left="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Em auditoria interna dessa base, identificamos duas inconsistências recorrentes que </w:t>
      </w:r>
      <w:r>
        <w:rPr>
          <w:rFonts w:ascii="Times New Roman" w:cs="Times New Roman" w:eastAsia="Times New Roman" w:hAnsi="Times New Roman"/>
          <w:b/>
          <w:bCs/>
          <w:sz w:val="24"/>
          <w:szCs w:val="24"/>
        </w:rPr>
        <w:t xml:space="preserve">não podem ser resolvidas sem informação do laboratório</w:t>
      </w:r>
      <w:r>
        <w:rPr>
          <w:rFonts w:ascii="Times New Roman" w:cs="Times New Roman" w:eastAsia="Times New Roman" w:hAnsi="Times New Roman"/>
          <w:sz w:val="24"/>
          <w:szCs w:val="24"/>
        </w:rPr>
        <w:t xml:space="preserve">, uma vez que os valores registrados em nosso sistema reproduzem fielmente o que consta dos laudos emitidos. Passamos a expô-las.</w:t>
      </w:r>
    </w:p>
    <w:p>
      <w:pPr>
        <w:spacing w:after="200" w:before="320"/>
        <w:jc w:val="left"/>
      </w:pPr>
      <w:r>
        <w:rPr>
          <w:rFonts w:ascii="Times New Roman" w:cs="Times New Roman" w:eastAsia="Times New Roman" w:hAnsi="Times New Roman"/>
          <w:b/>
          <w:bCs/>
          <w:sz w:val="24"/>
          <w:szCs w:val="24"/>
        </w:rPr>
        <w:t xml:space="preserve">I – BASE DE REPORTE DO ORTOFOSFATO DISSOLVIDO</w:t>
      </w:r>
    </w:p>
    <w:p>
      <w:pPr>
        <w:spacing w:after="160" w:line="276"/>
        <w:ind w:left="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Nos laudos emitidos por esse laboratório, a coluna UNIDADES apresenta declaração assimétrica entre dois parâmetros correlatos: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082"/>
        <w:gridCol w:w="4989"/>
      </w:tblGrid>
      <w:tr>
        <w:trPr>
          <w:tblHeader/>
        </w:trPr>
        <w:tc>
          <w:tcPr>
            <w:tcW w:type="dxa" w:w="4082"/>
            <w:shd w:fill="E8E8E8" w:val="clear"/>
            <w:tcMar>
              <w:top w:type="dxa" w:w="80"/>
              <w:left w:type="dxa" w:w="110"/>
              <w:bottom w:type="dxa" w:w="80"/>
              <w:right w:type="dxa" w:w="110"/>
            </w:tcMar>
          </w:tcPr>
          <w:p>
            <w:pPr>
              <w:spacing w:after="0" w:line="240"/>
              <w:jc w:val="left"/>
            </w:pPr>
            <w:r>
              <w:rPr>
                <w:rFonts w:ascii="Times New Roman" w:cs="Times New Roman" w:eastAsia="Times New Roman" w:hAnsi="Times New Roman"/>
                <w:b/>
                <w:bCs/>
                <w:sz w:val="22"/>
                <w:szCs w:val="22"/>
              </w:rPr>
              <w:t xml:space="preserve">Parâmetro</w:t>
            </w:r>
          </w:p>
        </w:tc>
        <w:tc>
          <w:tcPr>
            <w:tcW w:type="dxa" w:w="4989"/>
            <w:shd w:fill="E8E8E8" w:val="clear"/>
            <w:tcMar>
              <w:top w:type="dxa" w:w="80"/>
              <w:left w:type="dxa" w:w="110"/>
              <w:bottom w:type="dxa" w:w="80"/>
              <w:right w:type="dxa" w:w="110"/>
            </w:tcMar>
          </w:tcPr>
          <w:p>
            <w:pPr>
              <w:spacing w:after="0" w:line="240"/>
              <w:jc w:val="center"/>
            </w:pPr>
            <w:r>
              <w:rPr>
                <w:rFonts w:ascii="Times New Roman" w:cs="Times New Roman" w:eastAsia="Times New Roman" w:hAnsi="Times New Roman"/>
                <w:b/>
                <w:bCs/>
                <w:sz w:val="22"/>
                <w:szCs w:val="22"/>
              </w:rPr>
              <w:t xml:space="preserve">Unidade impressa no laudo</w:t>
            </w:r>
          </w:p>
        </w:tc>
      </w:tr>
      <w:tr>
        <w:tc>
          <w:tcPr>
            <w:tcW w:type="dxa" w:w="4082"/>
            <w:tcMar>
              <w:top w:type="dxa" w:w="80"/>
              <w:left w:type="dxa" w:w="110"/>
              <w:bottom w:type="dxa" w:w="80"/>
              <w:right w:type="dxa" w:w="110"/>
            </w:tcMar>
          </w:tcPr>
          <w:p>
            <w:pPr>
              <w:spacing w:after="0" w:line="240"/>
              <w:jc w:val="left"/>
            </w:pPr>
            <w:r>
              <w:rPr>
                <w:rFonts w:ascii="Times New Roman" w:cs="Times New Roman" w:eastAsia="Times New Roman" w:hAnsi="Times New Roman"/>
                <w:b w:val="false"/>
                <w:bCs w:val="false"/>
                <w:sz w:val="22"/>
                <w:szCs w:val="22"/>
              </w:rPr>
              <w:t xml:space="preserve">Fósforo Total</w:t>
            </w:r>
          </w:p>
        </w:tc>
        <w:tc>
          <w:tcPr>
            <w:tcW w:type="dxa" w:w="4989"/>
            <w:tcMar>
              <w:top w:type="dxa" w:w="80"/>
              <w:left w:type="dxa" w:w="110"/>
              <w:bottom w:type="dxa" w:w="80"/>
              <w:right w:type="dxa" w:w="110"/>
            </w:tcMar>
          </w:tcPr>
          <w:p>
            <w:pPr>
              <w:spacing w:after="0" w:line="240"/>
              <w:jc w:val="center"/>
            </w:pPr>
            <w:r>
              <w:rPr>
                <w:rFonts w:ascii="Times New Roman" w:cs="Times New Roman" w:eastAsia="Times New Roman" w:hAnsi="Times New Roman"/>
                <w:b w:val="false"/>
                <w:bCs w:val="false"/>
                <w:sz w:val="22"/>
                <w:szCs w:val="22"/>
              </w:rPr>
              <w:t xml:space="preserve">mg/l P  (base declarada)</w:t>
            </w:r>
          </w:p>
        </w:tc>
      </w:tr>
      <w:tr>
        <w:tc>
          <w:tcPr>
            <w:tcW w:type="dxa" w:w="4082"/>
            <w:tcMar>
              <w:top w:type="dxa" w:w="80"/>
              <w:left w:type="dxa" w:w="110"/>
              <w:bottom w:type="dxa" w:w="80"/>
              <w:right w:type="dxa" w:w="110"/>
            </w:tcMar>
          </w:tcPr>
          <w:p>
            <w:pPr>
              <w:spacing w:after="0" w:line="240"/>
              <w:jc w:val="left"/>
            </w:pPr>
            <w:r>
              <w:rPr>
                <w:rFonts w:ascii="Times New Roman" w:cs="Times New Roman" w:eastAsia="Times New Roman" w:hAnsi="Times New Roman"/>
                <w:b w:val="false"/>
                <w:bCs w:val="false"/>
                <w:sz w:val="22"/>
                <w:szCs w:val="22"/>
              </w:rPr>
              <w:t xml:space="preserve">Ortofosfato Dissolvido</w:t>
            </w:r>
          </w:p>
        </w:tc>
        <w:tc>
          <w:tcPr>
            <w:tcW w:type="dxa" w:w="4989"/>
            <w:tcMar>
              <w:top w:type="dxa" w:w="80"/>
              <w:left w:type="dxa" w:w="110"/>
              <w:bottom w:type="dxa" w:w="80"/>
              <w:right w:type="dxa" w:w="110"/>
            </w:tcMar>
          </w:tcPr>
          <w:p>
            <w:pPr>
              <w:spacing w:after="0" w:line="240"/>
              <w:jc w:val="center"/>
            </w:pPr>
            <w:r>
              <w:rPr>
                <w:rFonts w:ascii="Times New Roman" w:cs="Times New Roman" w:eastAsia="Times New Roman" w:hAnsi="Times New Roman"/>
                <w:b w:val="false"/>
                <w:bCs w:val="false"/>
                <w:sz w:val="22"/>
                <w:szCs w:val="22"/>
              </w:rPr>
              <w:t xml:space="preserve">mg/l  (sem indicação de base)</w:t>
            </w:r>
          </w:p>
        </w:tc>
      </w:tr>
    </w:tbl>
    <w:p>
      <w:pPr>
        <w:spacing w:after="200"/>
      </w:pPr>
      <w:r>
        <w:rPr>
          <w:rFonts w:ascii="Times New Roman" w:cs="Times New Roman" w:eastAsia="Times New Roman" w:hAnsi="Times New Roman"/>
          <w:sz w:val="24"/>
          <w:szCs w:val="24"/>
        </w:rPr>
        <w:t xml:space="preserve"/>
      </w:r>
    </w:p>
    <w:p>
      <w:pPr>
        <w:spacing w:after="160" w:line="276"/>
        <w:ind w:left="0"/>
        <w:jc w:val="both"/>
      </w:pPr>
      <w:r>
        <w:rPr>
          <w:rFonts w:ascii="Times New Roman" w:cs="Times New Roman" w:eastAsia="Times New Roman" w:hAnsi="Times New Roman"/>
          <w:sz w:val="24"/>
          <w:szCs w:val="24"/>
        </w:rPr>
        <w:t xml:space="preserve">4. </w:t>
      </w:r>
      <w:r>
        <w:rPr>
          <w:rFonts w:ascii="Times New Roman" w:cs="Times New Roman" w:eastAsia="Times New Roman" w:hAnsi="Times New Roman"/>
          <w:sz w:val="24"/>
          <w:szCs w:val="24"/>
        </w:rPr>
        <w:t xml:space="preserve">Como o ortofosfato dissolvido é fração do fósforo total, o resultado do primeiro não pode exceder o do segundo quando ambos são expressos na mesma base. Havendo diferença de base — ortofosfato reportado como o íon PO</w:t>
      </w:r>
      <w:r>
        <w:rPr>
          <w:rFonts w:ascii="Times New Roman" w:cs="Times New Roman" w:eastAsia="Times New Roman" w:hAnsi="Times New Roman"/>
          <w:sz w:val="24"/>
          <w:szCs w:val="24"/>
          <w:vertAlign w:val="subscript"/>
        </w:rPr>
        <w:t xml:space="preserve">4</w:t>
      </w:r>
      <w:r>
        <w:rPr>
          <w:rFonts w:ascii="Times New Roman" w:cs="Times New Roman" w:eastAsia="Times New Roman" w:hAnsi="Times New Roman"/>
          <w:sz w:val="24"/>
          <w:szCs w:val="24"/>
        </w:rPr>
        <w:t xml:space="preserve">3-</w:t>
      </w:r>
      <w:r>
        <w:rPr>
          <w:rFonts w:ascii="Times New Roman" w:cs="Times New Roman" w:eastAsia="Times New Roman" w:hAnsi="Times New Roman"/>
          <w:sz w:val="24"/>
          <w:szCs w:val="24"/>
        </w:rPr>
        <w:t xml:space="preserve"> e fósforo total como P elementar, prática admitida pelo </w:t>
      </w:r>
      <w:r>
        <w:rPr>
          <w:rFonts w:ascii="Times New Roman" w:cs="Times New Roman" w:eastAsia="Times New Roman" w:hAnsi="Times New Roman"/>
          <w:i/>
          <w:iCs/>
          <w:sz w:val="24"/>
          <w:szCs w:val="24"/>
        </w:rPr>
        <w:t xml:space="preserve">Standard Methods</w:t>
      </w:r>
      <w:r>
        <w:rPr>
          <w:rFonts w:ascii="Times New Roman" w:cs="Times New Roman" w:eastAsia="Times New Roman" w:hAnsi="Times New Roman"/>
          <w:sz w:val="24"/>
          <w:szCs w:val="24"/>
        </w:rPr>
        <w:t xml:space="preserve"> 4500-P, norma citada nos próprios laudos —, a razão entre eles pode chegar a </w:t>
      </w:r>
      <w:r>
        <w:rPr>
          <w:rFonts w:ascii="Times New Roman" w:cs="Times New Roman" w:eastAsia="Times New Roman" w:hAnsi="Times New Roman"/>
          <w:b/>
          <w:bCs/>
          <w:sz w:val="24"/>
          <w:szCs w:val="24"/>
        </w:rPr>
        <w:t xml:space="preserve">3,066</w:t>
      </w:r>
      <w:r>
        <w:rPr>
          <w:rFonts w:ascii="Times New Roman" w:cs="Times New Roman" w:eastAsia="Times New Roman" w:hAnsi="Times New Roman"/>
          <w:sz w:val="24"/>
          <w:szCs w:val="24"/>
        </w:rPr>
        <w:t xml:space="preserve"> (massa molar do PO</w:t>
      </w:r>
      <w:r>
        <w:rPr>
          <w:rFonts w:ascii="Times New Roman" w:cs="Times New Roman" w:eastAsia="Times New Roman" w:hAnsi="Times New Roman"/>
          <w:sz w:val="24"/>
          <w:szCs w:val="24"/>
          <w:vertAlign w:val="subscript"/>
        </w:rPr>
        <w:t xml:space="preserve">4</w:t>
      </w:r>
      <w:r>
        <w:rPr>
          <w:rFonts w:ascii="Times New Roman" w:cs="Times New Roman" w:eastAsia="Times New Roman" w:hAnsi="Times New Roman"/>
          <w:sz w:val="24"/>
          <w:szCs w:val="24"/>
        </w:rPr>
        <w:t xml:space="preserve">3-</w:t>
      </w:r>
      <w:r>
        <w:rPr>
          <w:rFonts w:ascii="Times New Roman" w:cs="Times New Roman" w:eastAsia="Times New Roman" w:hAnsi="Times New Roman"/>
          <w:sz w:val="24"/>
          <w:szCs w:val="24"/>
        </w:rPr>
        <w:t xml:space="preserve">, 94,97 g/mol, dividida pela do P, 30,97 g/mol) sem que haja qualquer inconsistência analítica.</w:t>
      </w:r>
    </w:p>
    <w:p>
      <w:pPr>
        <w:spacing w:after="160" w:line="276"/>
        <w:ind w:left="0"/>
        <w:jc w:val="both"/>
      </w:pPr>
      <w:r>
        <w:rPr>
          <w:rFonts w:ascii="Times New Roman" w:cs="Times New Roman" w:eastAsia="Times New Roman" w:hAnsi="Times New Roman"/>
          <w:sz w:val="24"/>
          <w:szCs w:val="24"/>
        </w:rPr>
        <w:t xml:space="preserve">5. </w:t>
      </w:r>
      <w:r>
        <w:rPr>
          <w:rFonts w:ascii="Times New Roman" w:cs="Times New Roman" w:eastAsia="Times New Roman" w:hAnsi="Times New Roman"/>
          <w:sz w:val="24"/>
          <w:szCs w:val="24"/>
        </w:rPr>
        <w:t xml:space="preserve">Ocorre que, em nossa base, </w:t>
      </w:r>
      <w:r>
        <w:rPr>
          <w:rFonts w:ascii="Times New Roman" w:cs="Times New Roman" w:eastAsia="Times New Roman" w:hAnsi="Times New Roman"/>
          <w:b/>
          <w:bCs/>
          <w:sz w:val="24"/>
          <w:szCs w:val="24"/>
        </w:rPr>
        <w:t xml:space="preserve">216 de 310 coletas (69,7%)</w:t>
      </w:r>
      <w:r>
        <w:rPr>
          <w:rFonts w:ascii="Times New Roman" w:cs="Times New Roman" w:eastAsia="Times New Roman" w:hAnsi="Times New Roman"/>
          <w:sz w:val="24"/>
          <w:szCs w:val="24"/>
        </w:rPr>
        <w:t xml:space="preserve"> apresentam ortofosfato dissolvido superior ao fósforo total </w:t>
      </w:r>
      <w:r>
        <w:rPr>
          <w:rFonts w:ascii="Times New Roman" w:cs="Times New Roman" w:eastAsia="Times New Roman" w:hAnsi="Times New Roman"/>
          <w:b/>
          <w:bCs/>
          <w:sz w:val="24"/>
          <w:szCs w:val="24"/>
        </w:rPr>
        <w:t xml:space="preserve">mesmo após a conversão acima</w:t>
      </w:r>
      <w:r>
        <w:rPr>
          <w:rFonts w:ascii="Times New Roman" w:cs="Times New Roman" w:eastAsia="Times New Roman" w:hAnsi="Times New Roman"/>
          <w:sz w:val="24"/>
          <w:szCs w:val="24"/>
        </w:rPr>
        <w:t xml:space="preserve">, o que a diferença de base, isoladamente, não explica. Dois laudos recentes ilustram os dois comportamentos: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451"/>
        <w:gridCol w:w="2540"/>
        <w:gridCol w:w="1179"/>
        <w:gridCol w:w="1361"/>
        <w:gridCol w:w="907"/>
        <w:gridCol w:w="1633"/>
      </w:tblGrid>
      <w:tr>
        <w:trPr>
          <w:tblHeader/>
        </w:trPr>
        <w:tc>
          <w:tcPr>
            <w:tcW w:type="dxa" w:w="1451"/>
            <w:shd w:fill="E8E8E8" w:val="clear"/>
            <w:tcMar>
              <w:top w:type="dxa" w:w="80"/>
              <w:left w:type="dxa" w:w="110"/>
              <w:bottom w:type="dxa" w:w="80"/>
              <w:right w:type="dxa" w:w="110"/>
            </w:tcMar>
          </w:tcPr>
          <w:p>
            <w:pPr>
              <w:spacing w:after="0" w:line="240"/>
              <w:jc w:val="left"/>
            </w:pPr>
            <w:r>
              <w:rPr>
                <w:rFonts w:ascii="Times New Roman" w:cs="Times New Roman" w:eastAsia="Times New Roman" w:hAnsi="Times New Roman"/>
                <w:b/>
                <w:bCs/>
                <w:sz w:val="22"/>
                <w:szCs w:val="22"/>
              </w:rPr>
              <w:t xml:space="preserve">Laudo</w:t>
            </w:r>
          </w:p>
        </w:tc>
        <w:tc>
          <w:tcPr>
            <w:tcW w:type="dxa" w:w="2540"/>
            <w:shd w:fill="E8E8E8" w:val="clear"/>
            <w:tcMar>
              <w:top w:type="dxa" w:w="80"/>
              <w:left w:type="dxa" w:w="110"/>
              <w:bottom w:type="dxa" w:w="80"/>
              <w:right w:type="dxa" w:w="110"/>
            </w:tcMar>
          </w:tcPr>
          <w:p>
            <w:pPr>
              <w:spacing w:after="0" w:line="240"/>
              <w:jc w:val="center"/>
            </w:pPr>
            <w:r>
              <w:rPr>
                <w:rFonts w:ascii="Times New Roman" w:cs="Times New Roman" w:eastAsia="Times New Roman" w:hAnsi="Times New Roman"/>
                <w:b/>
                <w:bCs/>
                <w:sz w:val="22"/>
                <w:szCs w:val="22"/>
              </w:rPr>
              <w:t xml:space="preserve">Procedência</w:t>
            </w:r>
          </w:p>
        </w:tc>
        <w:tc>
          <w:tcPr>
            <w:tcW w:type="dxa" w:w="1179"/>
            <w:shd w:fill="E8E8E8" w:val="clear"/>
            <w:tcMar>
              <w:top w:type="dxa" w:w="80"/>
              <w:left w:type="dxa" w:w="110"/>
              <w:bottom w:type="dxa" w:w="80"/>
              <w:right w:type="dxa" w:w="110"/>
            </w:tcMar>
          </w:tcPr>
          <w:p>
            <w:pPr>
              <w:spacing w:after="0" w:line="240"/>
              <w:jc w:val="center"/>
            </w:pPr>
            <w:r>
              <w:rPr>
                <w:rFonts w:ascii="Times New Roman" w:cs="Times New Roman" w:eastAsia="Times New Roman" w:hAnsi="Times New Roman"/>
                <w:b/>
                <w:bCs/>
                <w:sz w:val="22"/>
                <w:szCs w:val="22"/>
              </w:rPr>
              <w:t xml:space="preserve">Ortofosfato</w:t>
            </w:r>
          </w:p>
        </w:tc>
        <w:tc>
          <w:tcPr>
            <w:tcW w:type="dxa" w:w="1361"/>
            <w:shd w:fill="E8E8E8" w:val="clear"/>
            <w:tcMar>
              <w:top w:type="dxa" w:w="80"/>
              <w:left w:type="dxa" w:w="110"/>
              <w:bottom w:type="dxa" w:w="80"/>
              <w:right w:type="dxa" w:w="110"/>
            </w:tcMar>
          </w:tcPr>
          <w:p>
            <w:pPr>
              <w:spacing w:after="0" w:line="240"/>
              <w:jc w:val="center"/>
            </w:pPr>
            <w:r>
              <w:rPr>
                <w:rFonts w:ascii="Times New Roman" w:cs="Times New Roman" w:eastAsia="Times New Roman" w:hAnsi="Times New Roman"/>
                <w:b/>
                <w:bCs/>
                <w:sz w:val="22"/>
                <w:szCs w:val="22"/>
              </w:rPr>
              <w:t xml:space="preserve">Fósforo Total</w:t>
            </w:r>
          </w:p>
        </w:tc>
        <w:tc>
          <w:tcPr>
            <w:tcW w:type="dxa" w:w="907"/>
            <w:shd w:fill="E8E8E8" w:val="clear"/>
            <w:tcMar>
              <w:top w:type="dxa" w:w="80"/>
              <w:left w:type="dxa" w:w="110"/>
              <w:bottom w:type="dxa" w:w="80"/>
              <w:right w:type="dxa" w:w="110"/>
            </w:tcMar>
          </w:tcPr>
          <w:p>
            <w:pPr>
              <w:spacing w:after="0" w:line="240"/>
              <w:jc w:val="center"/>
            </w:pPr>
            <w:r>
              <w:rPr>
                <w:rFonts w:ascii="Times New Roman" w:cs="Times New Roman" w:eastAsia="Times New Roman" w:hAnsi="Times New Roman"/>
                <w:b/>
                <w:bCs/>
                <w:sz w:val="22"/>
                <w:szCs w:val="22"/>
              </w:rPr>
              <w:t xml:space="preserve">Razão</w:t>
            </w:r>
          </w:p>
        </w:tc>
        <w:tc>
          <w:tcPr>
            <w:tcW w:type="dxa" w:w="1633"/>
            <w:shd w:fill="E8E8E8" w:val="clear"/>
            <w:tcMar>
              <w:top w:type="dxa" w:w="80"/>
              <w:left w:type="dxa" w:w="110"/>
              <w:bottom w:type="dxa" w:w="80"/>
              <w:right w:type="dxa" w:w="110"/>
            </w:tcMar>
          </w:tcPr>
          <w:p>
            <w:pPr>
              <w:spacing w:after="0" w:line="240"/>
              <w:jc w:val="center"/>
            </w:pPr>
            <w:r>
              <w:rPr>
                <w:rFonts w:ascii="Times New Roman" w:cs="Times New Roman" w:eastAsia="Times New Roman" w:hAnsi="Times New Roman"/>
                <w:b/>
                <w:bCs/>
                <w:sz w:val="22"/>
                <w:szCs w:val="22"/>
              </w:rPr>
              <w:t xml:space="preserve">Após ÷ 3,066</w:t>
            </w:r>
          </w:p>
        </w:tc>
      </w:tr>
      <w:tr>
        <w:tc>
          <w:tcPr>
            <w:tcW w:type="dxa" w:w="1451"/>
            <w:tcMar>
              <w:top w:type="dxa" w:w="80"/>
              <w:left w:type="dxa" w:w="110"/>
              <w:bottom w:type="dxa" w:w="80"/>
              <w:right w:type="dxa" w:w="110"/>
            </w:tcMar>
          </w:tcPr>
          <w:p>
            <w:pPr>
              <w:spacing w:after="0" w:line="240"/>
              <w:jc w:val="left"/>
            </w:pPr>
            <w:r>
              <w:rPr>
                <w:rFonts w:ascii="Times New Roman" w:cs="Times New Roman" w:eastAsia="Times New Roman" w:hAnsi="Times New Roman"/>
                <w:b w:val="false"/>
                <w:bCs w:val="false"/>
                <w:sz w:val="22"/>
                <w:szCs w:val="22"/>
              </w:rPr>
              <w:t xml:space="preserve">1.304/2025</w:t>
            </w:r>
          </w:p>
        </w:tc>
        <w:tc>
          <w:tcPr>
            <w:tcW w:type="dxa" w:w="2540"/>
            <w:tcMar>
              <w:top w:type="dxa" w:w="80"/>
              <w:left w:type="dxa" w:w="110"/>
              <w:bottom w:type="dxa" w:w="80"/>
              <w:right w:type="dxa" w:w="110"/>
            </w:tcMar>
          </w:tcPr>
          <w:p>
            <w:pPr>
              <w:spacing w:after="0" w:line="240"/>
              <w:jc w:val="center"/>
            </w:pPr>
            <w:r>
              <w:rPr>
                <w:rFonts w:ascii="Times New Roman" w:cs="Times New Roman" w:eastAsia="Times New Roman" w:hAnsi="Times New Roman"/>
                <w:b w:val="false"/>
                <w:bCs w:val="false"/>
                <w:sz w:val="22"/>
                <w:szCs w:val="22"/>
              </w:rPr>
              <w:t xml:space="preserve">Rio Iquiri / Sen. Guiomard</w:t>
            </w:r>
          </w:p>
        </w:tc>
        <w:tc>
          <w:tcPr>
            <w:tcW w:type="dxa" w:w="1179"/>
            <w:tcMar>
              <w:top w:type="dxa" w:w="80"/>
              <w:left w:type="dxa" w:w="110"/>
              <w:bottom w:type="dxa" w:w="80"/>
              <w:right w:type="dxa" w:w="110"/>
            </w:tcMar>
          </w:tcPr>
          <w:p>
            <w:pPr>
              <w:spacing w:after="0" w:line="240"/>
              <w:jc w:val="center"/>
            </w:pPr>
            <w:r>
              <w:rPr>
                <w:rFonts w:ascii="Times New Roman" w:cs="Times New Roman" w:eastAsia="Times New Roman" w:hAnsi="Times New Roman"/>
                <w:b w:val="false"/>
                <w:bCs w:val="false"/>
                <w:sz w:val="22"/>
                <w:szCs w:val="22"/>
              </w:rPr>
              <w:t xml:space="preserve">0,08 mg/l</w:t>
            </w:r>
          </w:p>
        </w:tc>
        <w:tc>
          <w:tcPr>
            <w:tcW w:type="dxa" w:w="1361"/>
            <w:tcMar>
              <w:top w:type="dxa" w:w="80"/>
              <w:left w:type="dxa" w:w="110"/>
              <w:bottom w:type="dxa" w:w="80"/>
              <w:right w:type="dxa" w:w="110"/>
            </w:tcMar>
          </w:tcPr>
          <w:p>
            <w:pPr>
              <w:spacing w:after="0" w:line="240"/>
              <w:jc w:val="center"/>
            </w:pPr>
            <w:r>
              <w:rPr>
                <w:rFonts w:ascii="Times New Roman" w:cs="Times New Roman" w:eastAsia="Times New Roman" w:hAnsi="Times New Roman"/>
                <w:b w:val="false"/>
                <w:bCs w:val="false"/>
                <w:sz w:val="22"/>
                <w:szCs w:val="22"/>
              </w:rPr>
              <w:t xml:space="preserve">0,023 mg/l P</w:t>
            </w:r>
          </w:p>
        </w:tc>
        <w:tc>
          <w:tcPr>
            <w:tcW w:type="dxa" w:w="907"/>
            <w:tcMar>
              <w:top w:type="dxa" w:w="80"/>
              <w:left w:type="dxa" w:w="110"/>
              <w:bottom w:type="dxa" w:w="80"/>
              <w:right w:type="dxa" w:w="110"/>
            </w:tcMar>
          </w:tcPr>
          <w:p>
            <w:pPr>
              <w:spacing w:after="0" w:line="240"/>
              <w:jc w:val="center"/>
            </w:pPr>
            <w:r>
              <w:rPr>
                <w:rFonts w:ascii="Times New Roman" w:cs="Times New Roman" w:eastAsia="Times New Roman" w:hAnsi="Times New Roman"/>
                <w:b w:val="false"/>
                <w:bCs w:val="false"/>
                <w:sz w:val="22"/>
                <w:szCs w:val="22"/>
              </w:rPr>
              <w:t xml:space="preserve">3,5×</w:t>
            </w:r>
          </w:p>
        </w:tc>
        <w:tc>
          <w:tcPr>
            <w:tcW w:type="dxa" w:w="1633"/>
            <w:tcMar>
              <w:top w:type="dxa" w:w="80"/>
              <w:left w:type="dxa" w:w="110"/>
              <w:bottom w:type="dxa" w:w="80"/>
              <w:right w:type="dxa" w:w="110"/>
            </w:tcMar>
          </w:tcPr>
          <w:p>
            <w:pPr>
              <w:spacing w:after="0" w:line="240"/>
              <w:jc w:val="center"/>
            </w:pPr>
            <w:r>
              <w:rPr>
                <w:rFonts w:ascii="Times New Roman" w:cs="Times New Roman" w:eastAsia="Times New Roman" w:hAnsi="Times New Roman"/>
                <w:b w:val="false"/>
                <w:bCs w:val="false"/>
                <w:sz w:val="22"/>
                <w:szCs w:val="22"/>
              </w:rPr>
              <w:t xml:space="preserve">0,026 mg/L P — compatível</w:t>
            </w:r>
          </w:p>
        </w:tc>
      </w:tr>
      <w:tr>
        <w:tc>
          <w:tcPr>
            <w:tcW w:type="dxa" w:w="1451"/>
            <w:tcMar>
              <w:top w:type="dxa" w:w="80"/>
              <w:left w:type="dxa" w:w="110"/>
              <w:bottom w:type="dxa" w:w="80"/>
              <w:right w:type="dxa" w:w="110"/>
            </w:tcMar>
          </w:tcPr>
          <w:p>
            <w:pPr>
              <w:spacing w:after="0" w:line="240"/>
              <w:jc w:val="left"/>
            </w:pPr>
            <w:r>
              <w:rPr>
                <w:rFonts w:ascii="Times New Roman" w:cs="Times New Roman" w:eastAsia="Times New Roman" w:hAnsi="Times New Roman"/>
                <w:b w:val="false"/>
                <w:bCs w:val="false"/>
                <w:sz w:val="22"/>
                <w:szCs w:val="22"/>
              </w:rPr>
              <w:t xml:space="preserve">1.347/2025</w:t>
            </w:r>
          </w:p>
        </w:tc>
        <w:tc>
          <w:tcPr>
            <w:tcW w:type="dxa" w:w="2540"/>
            <w:tcMar>
              <w:top w:type="dxa" w:w="80"/>
              <w:left w:type="dxa" w:w="110"/>
              <w:bottom w:type="dxa" w:w="80"/>
              <w:right w:type="dxa" w:w="110"/>
            </w:tcMar>
          </w:tcPr>
          <w:p>
            <w:pPr>
              <w:spacing w:after="0" w:line="240"/>
              <w:jc w:val="center"/>
            </w:pPr>
            <w:r>
              <w:rPr>
                <w:rFonts w:ascii="Times New Roman" w:cs="Times New Roman" w:eastAsia="Times New Roman" w:hAnsi="Times New Roman"/>
                <w:b w:val="false"/>
                <w:bCs w:val="false"/>
                <w:sz w:val="22"/>
                <w:szCs w:val="22"/>
              </w:rPr>
              <w:t xml:space="preserve">Rio Purus / Santa Rosa</w:t>
            </w:r>
          </w:p>
        </w:tc>
        <w:tc>
          <w:tcPr>
            <w:tcW w:type="dxa" w:w="1179"/>
            <w:tcMar>
              <w:top w:type="dxa" w:w="80"/>
              <w:left w:type="dxa" w:w="110"/>
              <w:bottom w:type="dxa" w:w="80"/>
              <w:right w:type="dxa" w:w="110"/>
            </w:tcMar>
          </w:tcPr>
          <w:p>
            <w:pPr>
              <w:spacing w:after="0" w:line="240"/>
              <w:jc w:val="center"/>
            </w:pPr>
            <w:r>
              <w:rPr>
                <w:rFonts w:ascii="Times New Roman" w:cs="Times New Roman" w:eastAsia="Times New Roman" w:hAnsi="Times New Roman"/>
                <w:b w:val="false"/>
                <w:bCs w:val="false"/>
                <w:sz w:val="22"/>
                <w:szCs w:val="22"/>
              </w:rPr>
              <w:t xml:space="preserve">1,10 mg/l</w:t>
            </w:r>
          </w:p>
        </w:tc>
        <w:tc>
          <w:tcPr>
            <w:tcW w:type="dxa" w:w="1361"/>
            <w:tcMar>
              <w:top w:type="dxa" w:w="80"/>
              <w:left w:type="dxa" w:w="110"/>
              <w:bottom w:type="dxa" w:w="80"/>
              <w:right w:type="dxa" w:w="110"/>
            </w:tcMar>
          </w:tcPr>
          <w:p>
            <w:pPr>
              <w:spacing w:after="0" w:line="240"/>
              <w:jc w:val="center"/>
            </w:pPr>
            <w:r>
              <w:rPr>
                <w:rFonts w:ascii="Times New Roman" w:cs="Times New Roman" w:eastAsia="Times New Roman" w:hAnsi="Times New Roman"/>
                <w:b w:val="false"/>
                <w:bCs w:val="false"/>
                <w:sz w:val="22"/>
                <w:szCs w:val="22"/>
              </w:rPr>
              <w:t xml:space="preserve">0,028 mg/l P</w:t>
            </w:r>
          </w:p>
        </w:tc>
        <w:tc>
          <w:tcPr>
            <w:tcW w:type="dxa" w:w="907"/>
            <w:tcMar>
              <w:top w:type="dxa" w:w="80"/>
              <w:left w:type="dxa" w:w="110"/>
              <w:bottom w:type="dxa" w:w="80"/>
              <w:right w:type="dxa" w:w="110"/>
            </w:tcMar>
          </w:tcPr>
          <w:p>
            <w:pPr>
              <w:spacing w:after="0" w:line="240"/>
              <w:jc w:val="center"/>
            </w:pPr>
            <w:r>
              <w:rPr>
                <w:rFonts w:ascii="Times New Roman" w:cs="Times New Roman" w:eastAsia="Times New Roman" w:hAnsi="Times New Roman"/>
                <w:b w:val="false"/>
                <w:bCs w:val="false"/>
                <w:sz w:val="22"/>
                <w:szCs w:val="22"/>
              </w:rPr>
              <w:t xml:space="preserve">39,3×</w:t>
            </w:r>
          </w:p>
        </w:tc>
        <w:tc>
          <w:tcPr>
            <w:tcW w:type="dxa" w:w="1633"/>
            <w:tcMar>
              <w:top w:type="dxa" w:w="80"/>
              <w:left w:type="dxa" w:w="110"/>
              <w:bottom w:type="dxa" w:w="80"/>
              <w:right w:type="dxa" w:w="110"/>
            </w:tcMar>
          </w:tcPr>
          <w:p>
            <w:pPr>
              <w:spacing w:after="0" w:line="240"/>
              <w:jc w:val="center"/>
            </w:pPr>
            <w:r>
              <w:rPr>
                <w:rFonts w:ascii="Times New Roman" w:cs="Times New Roman" w:eastAsia="Times New Roman" w:hAnsi="Times New Roman"/>
                <w:b w:val="false"/>
                <w:bCs w:val="false"/>
                <w:sz w:val="22"/>
                <w:szCs w:val="22"/>
              </w:rPr>
              <w:t xml:space="preserve">0,359 mg/L P — 12,8× acima</w:t>
            </w:r>
          </w:p>
        </w:tc>
      </w:tr>
    </w:tbl>
    <w:p>
      <w:pPr>
        <w:spacing w:after="200"/>
      </w:pPr>
      <w:r>
        <w:rPr>
          <w:rFonts w:ascii="Times New Roman" w:cs="Times New Roman" w:eastAsia="Times New Roman" w:hAnsi="Times New Roman"/>
          <w:sz w:val="24"/>
          <w:szCs w:val="24"/>
        </w:rPr>
        <w:t xml:space="preserve"/>
      </w:r>
    </w:p>
    <w:p>
      <w:pPr>
        <w:spacing w:after="160" w:line="276"/>
        <w:ind w:left="0"/>
        <w:jc w:val="both"/>
      </w:pPr>
      <w:r>
        <w:rPr>
          <w:rFonts w:ascii="Times New Roman" w:cs="Times New Roman" w:eastAsia="Times New Roman" w:hAnsi="Times New Roman"/>
          <w:sz w:val="24"/>
          <w:szCs w:val="24"/>
        </w:rPr>
        <w:t xml:space="preserve">6. </w:t>
      </w:r>
      <w:r>
        <w:rPr>
          <w:rFonts w:ascii="Times New Roman" w:cs="Times New Roman" w:eastAsia="Times New Roman" w:hAnsi="Times New Roman"/>
          <w:sz w:val="24"/>
          <w:szCs w:val="24"/>
        </w:rPr>
        <w:t xml:space="preserve">Registramos ainda que, nas campanhas de </w:t>
      </w:r>
      <w:r>
        <w:rPr>
          <w:rFonts w:ascii="Times New Roman" w:cs="Times New Roman" w:eastAsia="Times New Roman" w:hAnsi="Times New Roman"/>
          <w:b/>
          <w:bCs/>
          <w:sz w:val="24"/>
          <w:szCs w:val="24"/>
        </w:rPr>
        <w:t xml:space="preserve">2019</w:t>
      </w:r>
      <w:r>
        <w:rPr>
          <w:rFonts w:ascii="Times New Roman" w:cs="Times New Roman" w:eastAsia="Times New Roman" w:hAnsi="Times New Roman"/>
          <w:sz w:val="24"/>
          <w:szCs w:val="24"/>
        </w:rPr>
        <w:t xml:space="preserve">, o ortofosfato dissolvido apresenta mediana de 8,13 mg/l (máximo de 14 mg/l), contra mediana de 0,022 mg/l P de fósforo total no mesmo período — diferença de ordem de grandeza que sugere alteração de unidade ou de método naquele intervalo.</w:t>
      </w:r>
    </w:p>
    <w:p>
      <w:pPr>
        <w:spacing w:after="160" w:line="276"/>
        <w:ind w:left="0"/>
        <w:jc w:val="both"/>
      </w:pPr>
      <w:r>
        <w:rPr>
          <w:rFonts w:ascii="Times New Roman" w:cs="Times New Roman" w:eastAsia="Times New Roman" w:hAnsi="Times New Roman"/>
          <w:sz w:val="24"/>
          <w:szCs w:val="24"/>
        </w:rPr>
        <w:t xml:space="preserve">7. </w:t>
      </w:r>
      <w:r>
        <w:rPr>
          <w:rFonts w:ascii="Times New Roman" w:cs="Times New Roman" w:eastAsia="Times New Roman" w:hAnsi="Times New Roman"/>
          <w:b/>
          <w:bCs/>
          <w:sz w:val="24"/>
          <w:szCs w:val="24"/>
        </w:rPr>
        <w:t xml:space="preserve">Solicitamos, portanto, esclarecimento sobre:</w:t>
      </w:r>
    </w:p>
    <w:p>
      <w:pPr>
        <w:spacing w:after="160" w:line="276"/>
        <w:ind w:left="720"/>
        <w:jc w:val="both"/>
      </w:pPr>
      <w:r>
        <w:rPr>
          <w:rFonts w:ascii="Times New Roman" w:cs="Times New Roman" w:eastAsia="Times New Roman" w:hAnsi="Times New Roman"/>
          <w:sz w:val="24"/>
          <w:szCs w:val="24"/>
        </w:rPr>
        <w:t xml:space="preserve">a) </w:t>
      </w:r>
      <w:r>
        <w:rPr>
          <w:rFonts w:ascii="Times New Roman" w:cs="Times New Roman" w:eastAsia="Times New Roman" w:hAnsi="Times New Roman"/>
          <w:sz w:val="24"/>
          <w:szCs w:val="24"/>
        </w:rPr>
        <w:t xml:space="preserve">em que base é reportado o Ortofosfato Dissolvido nos laudos emitidos a esta Secretaria — </w:t>
      </w:r>
      <w:r>
        <w:rPr>
          <w:rFonts w:ascii="Times New Roman" w:cs="Times New Roman" w:eastAsia="Times New Roman" w:hAnsi="Times New Roman"/>
          <w:b/>
          <w:bCs/>
          <w:sz w:val="24"/>
          <w:szCs w:val="24"/>
        </w:rPr>
        <w:t xml:space="preserve">mg/L de PO</w:t>
      </w:r>
      <w:r>
        <w:rPr>
          <w:rFonts w:ascii="Times New Roman" w:cs="Times New Roman" w:eastAsia="Times New Roman" w:hAnsi="Times New Roman"/>
          <w:b/>
          <w:bCs/>
          <w:sz w:val="24"/>
          <w:szCs w:val="24"/>
          <w:vertAlign w:val="subscript"/>
        </w:rPr>
        <w:t xml:space="preserve">4</w:t>
      </w:r>
      <w:r>
        <w:rPr>
          <w:rFonts w:ascii="Times New Roman" w:cs="Times New Roman" w:eastAsia="Times New Roman" w:hAnsi="Times New Roman"/>
          <w:b/>
          <w:bCs/>
          <w:sz w:val="24"/>
          <w:szCs w:val="24"/>
        </w:rPr>
        <w:t xml:space="preserve">3-</w:t>
      </w:r>
      <w:r>
        <w:rPr>
          <w:rFonts w:ascii="Times New Roman" w:cs="Times New Roman" w:eastAsia="Times New Roman" w:hAnsi="Times New Roman"/>
          <w:sz w:val="24"/>
          <w:szCs w:val="24"/>
        </w:rPr>
        <w:t xml:space="preserve"> ou </w:t>
      </w:r>
      <w:r>
        <w:rPr>
          <w:rFonts w:ascii="Times New Roman" w:cs="Times New Roman" w:eastAsia="Times New Roman" w:hAnsi="Times New Roman"/>
          <w:b/>
          <w:bCs/>
          <w:sz w:val="24"/>
          <w:szCs w:val="24"/>
        </w:rPr>
        <w:t xml:space="preserve">mg/L de P</w:t>
      </w:r>
      <w:r>
        <w:rPr>
          <w:rFonts w:ascii="Times New Roman" w:cs="Times New Roman" w:eastAsia="Times New Roman" w:hAnsi="Times New Roman"/>
          <w:sz w:val="24"/>
          <w:szCs w:val="24"/>
        </w:rPr>
        <w:t xml:space="preserve">;</w:t>
      </w:r>
    </w:p>
    <w:p>
      <w:pPr>
        <w:spacing w:after="160" w:line="276"/>
        <w:ind w:left="720"/>
        <w:jc w:val="both"/>
      </w:pPr>
      <w:r>
        <w:rPr>
          <w:rFonts w:ascii="Times New Roman" w:cs="Times New Roman" w:eastAsia="Times New Roman" w:hAnsi="Times New Roman"/>
          <w:sz w:val="24"/>
          <w:szCs w:val="24"/>
        </w:rPr>
        <w:t xml:space="preserve">b) </w:t>
      </w:r>
      <w:r>
        <w:rPr>
          <w:rFonts w:ascii="Times New Roman" w:cs="Times New Roman" w:eastAsia="Times New Roman" w:hAnsi="Times New Roman"/>
          <w:sz w:val="24"/>
          <w:szCs w:val="24"/>
        </w:rPr>
        <w:t xml:space="preserve">se essa base foi mantida uniforme ao longo de toda a série (2016 a 2026) e, em caso negativo, em que períodos houve alteração;</w:t>
      </w:r>
    </w:p>
    <w:p>
      <w:pPr>
        <w:spacing w:after="160" w:line="276"/>
        <w:ind w:left="720"/>
        <w:jc w:val="both"/>
      </w:pPr>
      <w:r>
        <w:rPr>
          <w:rFonts w:ascii="Times New Roman" w:cs="Times New Roman" w:eastAsia="Times New Roman" w:hAnsi="Times New Roman"/>
          <w:sz w:val="24"/>
          <w:szCs w:val="24"/>
        </w:rPr>
        <w:t xml:space="preserve">c) </w:t>
      </w:r>
      <w:r>
        <w:rPr>
          <w:rFonts w:ascii="Times New Roman" w:cs="Times New Roman" w:eastAsia="Times New Roman" w:hAnsi="Times New Roman"/>
          <w:sz w:val="24"/>
          <w:szCs w:val="24"/>
        </w:rPr>
        <w:t xml:space="preserve">o método analítico e o limite de quantificação praticados para esse parâmetro.</w:t>
      </w:r>
    </w:p>
    <w:p>
      <w:pPr>
        <w:spacing w:after="200" w:before="320"/>
        <w:jc w:val="left"/>
      </w:pPr>
      <w:r>
        <w:rPr>
          <w:rFonts w:ascii="Times New Roman" w:cs="Times New Roman" w:eastAsia="Times New Roman" w:hAnsi="Times New Roman"/>
          <w:b/>
          <w:bCs/>
          <w:sz w:val="24"/>
          <w:szCs w:val="24"/>
        </w:rPr>
        <w:t xml:space="preserve">II – RESULTADOS DE SÓLIDOS SUSPENSOS</w:t>
      </w:r>
    </w:p>
    <w:p>
      <w:pPr>
        <w:spacing w:after="160" w:line="276"/>
        <w:ind w:left="0"/>
        <w:jc w:val="both"/>
      </w:pPr>
      <w:r>
        <w:rPr>
          <w:rFonts w:ascii="Times New Roman" w:cs="Times New Roman" w:eastAsia="Times New Roman" w:hAnsi="Times New Roman"/>
          <w:sz w:val="24"/>
          <w:szCs w:val="24"/>
        </w:rPr>
        <w:t xml:space="preserve">8. </w:t>
      </w:r>
      <w:r>
        <w:rPr>
          <w:rFonts w:ascii="Times New Roman" w:cs="Times New Roman" w:eastAsia="Times New Roman" w:hAnsi="Times New Roman"/>
          <w:sz w:val="24"/>
          <w:szCs w:val="24"/>
        </w:rPr>
        <w:t xml:space="preserve">Os laudos apresentam resultados de Sólidos Suspensos em valores de ordem centesimal e milesimal de mg/l, conforme exemplos abaixo, extraídos dos mesmos laudos já citados: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540"/>
        <w:gridCol w:w="3266"/>
        <w:gridCol w:w="3266"/>
      </w:tblGrid>
      <w:tr>
        <w:trPr>
          <w:tblHeader/>
        </w:trPr>
        <w:tc>
          <w:tcPr>
            <w:tcW w:type="dxa" w:w="2540"/>
            <w:shd w:fill="E8E8E8" w:val="clear"/>
            <w:tcMar>
              <w:top w:type="dxa" w:w="80"/>
              <w:left w:type="dxa" w:w="110"/>
              <w:bottom w:type="dxa" w:w="80"/>
              <w:right w:type="dxa" w:w="110"/>
            </w:tcMar>
          </w:tcPr>
          <w:p>
            <w:pPr>
              <w:spacing w:after="0" w:line="240"/>
              <w:jc w:val="left"/>
            </w:pPr>
            <w:r>
              <w:rPr>
                <w:rFonts w:ascii="Times New Roman" w:cs="Times New Roman" w:eastAsia="Times New Roman" w:hAnsi="Times New Roman"/>
                <w:b/>
                <w:bCs/>
                <w:sz w:val="22"/>
                <w:szCs w:val="22"/>
              </w:rPr>
              <w:t xml:space="preserve">Laudo</w:t>
            </w:r>
          </w:p>
        </w:tc>
        <w:tc>
          <w:tcPr>
            <w:tcW w:type="dxa" w:w="3266"/>
            <w:shd w:fill="E8E8E8" w:val="clear"/>
            <w:tcMar>
              <w:top w:type="dxa" w:w="80"/>
              <w:left w:type="dxa" w:w="110"/>
              <w:bottom w:type="dxa" w:w="80"/>
              <w:right w:type="dxa" w:w="110"/>
            </w:tcMar>
          </w:tcPr>
          <w:p>
            <w:pPr>
              <w:spacing w:after="0" w:line="240"/>
              <w:jc w:val="center"/>
            </w:pPr>
            <w:r>
              <w:rPr>
                <w:rFonts w:ascii="Times New Roman" w:cs="Times New Roman" w:eastAsia="Times New Roman" w:hAnsi="Times New Roman"/>
                <w:b/>
                <w:bCs/>
                <w:sz w:val="22"/>
                <w:szCs w:val="22"/>
              </w:rPr>
              <w:t xml:space="preserve">Sólidos Suspensos</w:t>
            </w:r>
          </w:p>
        </w:tc>
        <w:tc>
          <w:tcPr>
            <w:tcW w:type="dxa" w:w="3266"/>
            <w:shd w:fill="E8E8E8" w:val="clear"/>
            <w:tcMar>
              <w:top w:type="dxa" w:w="80"/>
              <w:left w:type="dxa" w:w="110"/>
              <w:bottom w:type="dxa" w:w="80"/>
              <w:right w:type="dxa" w:w="110"/>
            </w:tcMar>
          </w:tcPr>
          <w:p>
            <w:pPr>
              <w:spacing w:after="0" w:line="240"/>
              <w:jc w:val="center"/>
            </w:pPr>
            <w:r>
              <w:rPr>
                <w:rFonts w:ascii="Times New Roman" w:cs="Times New Roman" w:eastAsia="Times New Roman" w:hAnsi="Times New Roman"/>
                <w:b/>
                <w:bCs/>
                <w:sz w:val="22"/>
                <w:szCs w:val="22"/>
              </w:rPr>
              <w:t xml:space="preserve">Sólidos Totais Dissolvidos</w:t>
            </w:r>
          </w:p>
        </w:tc>
      </w:tr>
      <w:tr>
        <w:tc>
          <w:tcPr>
            <w:tcW w:type="dxa" w:w="2540"/>
            <w:tcMar>
              <w:top w:type="dxa" w:w="80"/>
              <w:left w:type="dxa" w:w="110"/>
              <w:bottom w:type="dxa" w:w="80"/>
              <w:right w:type="dxa" w:w="110"/>
            </w:tcMar>
          </w:tcPr>
          <w:p>
            <w:pPr>
              <w:spacing w:after="0" w:line="240"/>
              <w:jc w:val="left"/>
            </w:pPr>
            <w:r>
              <w:rPr>
                <w:rFonts w:ascii="Times New Roman" w:cs="Times New Roman" w:eastAsia="Times New Roman" w:hAnsi="Times New Roman"/>
                <w:b w:val="false"/>
                <w:bCs w:val="false"/>
                <w:sz w:val="22"/>
                <w:szCs w:val="22"/>
              </w:rPr>
              <w:t xml:space="preserve">1.304/2025</w:t>
            </w:r>
          </w:p>
        </w:tc>
        <w:tc>
          <w:tcPr>
            <w:tcW w:type="dxa" w:w="3266"/>
            <w:tcMar>
              <w:top w:type="dxa" w:w="80"/>
              <w:left w:type="dxa" w:w="110"/>
              <w:bottom w:type="dxa" w:w="80"/>
              <w:right w:type="dxa" w:w="110"/>
            </w:tcMar>
          </w:tcPr>
          <w:p>
            <w:pPr>
              <w:spacing w:after="0" w:line="240"/>
              <w:jc w:val="center"/>
            </w:pPr>
            <w:r>
              <w:rPr>
                <w:rFonts w:ascii="Times New Roman" w:cs="Times New Roman" w:eastAsia="Times New Roman" w:hAnsi="Times New Roman"/>
                <w:b w:val="false"/>
                <w:bCs w:val="false"/>
                <w:sz w:val="22"/>
                <w:szCs w:val="22"/>
              </w:rPr>
              <w:t xml:space="preserve">0,297 mg/l</w:t>
            </w:r>
          </w:p>
        </w:tc>
        <w:tc>
          <w:tcPr>
            <w:tcW w:type="dxa" w:w="3266"/>
            <w:tcMar>
              <w:top w:type="dxa" w:w="80"/>
              <w:left w:type="dxa" w:w="110"/>
              <w:bottom w:type="dxa" w:w="80"/>
              <w:right w:type="dxa" w:w="110"/>
            </w:tcMar>
          </w:tcPr>
          <w:p>
            <w:pPr>
              <w:spacing w:after="0" w:line="240"/>
              <w:jc w:val="center"/>
            </w:pPr>
            <w:r>
              <w:rPr>
                <w:rFonts w:ascii="Times New Roman" w:cs="Times New Roman" w:eastAsia="Times New Roman" w:hAnsi="Times New Roman"/>
                <w:b w:val="false"/>
                <w:bCs w:val="false"/>
                <w:sz w:val="22"/>
                <w:szCs w:val="22"/>
              </w:rPr>
              <w:t xml:space="preserve">13,30 mg/l</w:t>
            </w:r>
          </w:p>
        </w:tc>
      </w:tr>
      <w:tr>
        <w:tc>
          <w:tcPr>
            <w:tcW w:type="dxa" w:w="2540"/>
            <w:tcMar>
              <w:top w:type="dxa" w:w="80"/>
              <w:left w:type="dxa" w:w="110"/>
              <w:bottom w:type="dxa" w:w="80"/>
              <w:right w:type="dxa" w:w="110"/>
            </w:tcMar>
          </w:tcPr>
          <w:p>
            <w:pPr>
              <w:spacing w:after="0" w:line="240"/>
              <w:jc w:val="left"/>
            </w:pPr>
            <w:r>
              <w:rPr>
                <w:rFonts w:ascii="Times New Roman" w:cs="Times New Roman" w:eastAsia="Times New Roman" w:hAnsi="Times New Roman"/>
                <w:b w:val="false"/>
                <w:bCs w:val="false"/>
                <w:sz w:val="22"/>
                <w:szCs w:val="22"/>
              </w:rPr>
              <w:t xml:space="preserve">1.347/2025</w:t>
            </w:r>
          </w:p>
        </w:tc>
        <w:tc>
          <w:tcPr>
            <w:tcW w:type="dxa" w:w="3266"/>
            <w:tcMar>
              <w:top w:type="dxa" w:w="80"/>
              <w:left w:type="dxa" w:w="110"/>
              <w:bottom w:type="dxa" w:w="80"/>
              <w:right w:type="dxa" w:w="110"/>
            </w:tcMar>
          </w:tcPr>
          <w:p>
            <w:pPr>
              <w:spacing w:after="0" w:line="240"/>
              <w:jc w:val="center"/>
            </w:pPr>
            <w:r>
              <w:rPr>
                <w:rFonts w:ascii="Times New Roman" w:cs="Times New Roman" w:eastAsia="Times New Roman" w:hAnsi="Times New Roman"/>
                <w:b w:val="false"/>
                <w:bCs w:val="false"/>
                <w:sz w:val="22"/>
                <w:szCs w:val="22"/>
              </w:rPr>
              <w:t xml:space="preserve">0,039 mg/l</w:t>
            </w:r>
          </w:p>
        </w:tc>
        <w:tc>
          <w:tcPr>
            <w:tcW w:type="dxa" w:w="3266"/>
            <w:tcMar>
              <w:top w:type="dxa" w:w="80"/>
              <w:left w:type="dxa" w:w="110"/>
              <w:bottom w:type="dxa" w:w="80"/>
              <w:right w:type="dxa" w:w="110"/>
            </w:tcMar>
          </w:tcPr>
          <w:p>
            <w:pPr>
              <w:spacing w:after="0" w:line="240"/>
              <w:jc w:val="center"/>
            </w:pPr>
            <w:r>
              <w:rPr>
                <w:rFonts w:ascii="Times New Roman" w:cs="Times New Roman" w:eastAsia="Times New Roman" w:hAnsi="Times New Roman"/>
                <w:b w:val="false"/>
                <w:bCs w:val="false"/>
                <w:sz w:val="22"/>
                <w:szCs w:val="22"/>
              </w:rPr>
              <w:t xml:space="preserve">214,00 mg/l</w:t>
            </w:r>
          </w:p>
        </w:tc>
      </w:tr>
    </w:tbl>
    <w:p>
      <w:pPr>
        <w:spacing w:after="200"/>
      </w:pPr>
      <w:r>
        <w:rPr>
          <w:rFonts w:ascii="Times New Roman" w:cs="Times New Roman" w:eastAsia="Times New Roman" w:hAnsi="Times New Roman"/>
          <w:sz w:val="24"/>
          <w:szCs w:val="24"/>
        </w:rPr>
        <w:t xml:space="preserve"/>
      </w:r>
    </w:p>
    <w:p>
      <w:pPr>
        <w:spacing w:after="160" w:line="276"/>
        <w:ind w:left="0"/>
        <w:jc w:val="both"/>
      </w:pPr>
      <w:r>
        <w:rPr>
          <w:rFonts w:ascii="Times New Roman" w:cs="Times New Roman" w:eastAsia="Times New Roman" w:hAnsi="Times New Roman"/>
          <w:sz w:val="24"/>
          <w:szCs w:val="24"/>
        </w:rPr>
        <w:t xml:space="preserve">9. </w:t>
      </w:r>
      <w:r>
        <w:rPr>
          <w:rFonts w:ascii="Times New Roman" w:cs="Times New Roman" w:eastAsia="Times New Roman" w:hAnsi="Times New Roman"/>
          <w:sz w:val="24"/>
          <w:szCs w:val="24"/>
        </w:rPr>
        <w:t xml:space="preserve">Tais valores são de difícil compatibilização com dois elementos:</w:t>
      </w:r>
    </w:p>
    <w:p>
      <w:pPr>
        <w:spacing w:after="160" w:line="276"/>
        <w:ind w:left="720"/>
        <w:jc w:val="both"/>
      </w:pPr>
      <w:r>
        <w:rPr>
          <w:rFonts w:ascii="Times New Roman" w:cs="Times New Roman" w:eastAsia="Times New Roman" w:hAnsi="Times New Roman"/>
          <w:sz w:val="24"/>
          <w:szCs w:val="24"/>
        </w:rPr>
        <w:t xml:space="preserve">a) </w:t>
      </w:r>
      <w:r>
        <w:rPr>
          <w:rFonts w:ascii="Times New Roman" w:cs="Times New Roman" w:eastAsia="Times New Roman" w:hAnsi="Times New Roman"/>
          <w:b/>
          <w:bCs/>
          <w:sz w:val="24"/>
          <w:szCs w:val="24"/>
        </w:rPr>
        <w:t xml:space="preserve">a turbidez medida em campo por esta Secretaria</w:t>
      </w:r>
      <w:r>
        <w:rPr>
          <w:rFonts w:ascii="Times New Roman" w:cs="Times New Roman" w:eastAsia="Times New Roman" w:hAnsi="Times New Roman"/>
          <w:sz w:val="24"/>
          <w:szCs w:val="24"/>
        </w:rPr>
        <w:t xml:space="preserve"> nas mesmas amostras — parâmetro que não consta dos laudos. Nas 226 coletas em que dispomos dos dois valores, a turbidez tem mediana de </w:t>
      </w:r>
      <w:r>
        <w:rPr>
          <w:rFonts w:ascii="Times New Roman" w:cs="Times New Roman" w:eastAsia="Times New Roman" w:hAnsi="Times New Roman"/>
          <w:b/>
          <w:bCs/>
          <w:sz w:val="24"/>
          <w:szCs w:val="24"/>
        </w:rPr>
        <w:t xml:space="preserve">64,8 UNT</w:t>
      </w:r>
      <w:r>
        <w:rPr>
          <w:rFonts w:ascii="Times New Roman" w:cs="Times New Roman" w:eastAsia="Times New Roman" w:hAnsi="Times New Roman"/>
          <w:sz w:val="24"/>
          <w:szCs w:val="24"/>
        </w:rPr>
        <w:t xml:space="preserve"> (variando de 1,5 a 870,6 UNT) contra mediana de </w:t>
      </w:r>
      <w:r>
        <w:rPr>
          <w:rFonts w:ascii="Times New Roman" w:cs="Times New Roman" w:eastAsia="Times New Roman" w:hAnsi="Times New Roman"/>
          <w:b/>
          <w:bCs/>
          <w:sz w:val="24"/>
          <w:szCs w:val="24"/>
        </w:rPr>
        <w:t xml:space="preserve">0,240 mg/l</w:t>
      </w:r>
      <w:r>
        <w:rPr>
          <w:rFonts w:ascii="Times New Roman" w:cs="Times New Roman" w:eastAsia="Times New Roman" w:hAnsi="Times New Roman"/>
          <w:sz w:val="24"/>
          <w:szCs w:val="24"/>
        </w:rPr>
        <w:t xml:space="preserve"> de sólidos suspensos, resultando em razão mediana de </w:t>
      </w:r>
      <w:r>
        <w:rPr>
          <w:rFonts w:ascii="Times New Roman" w:cs="Times New Roman" w:eastAsia="Times New Roman" w:hAnsi="Times New Roman"/>
          <w:b/>
          <w:bCs/>
          <w:sz w:val="24"/>
          <w:szCs w:val="24"/>
        </w:rPr>
        <w:t xml:space="preserve">0,0025 mg/L por UNT</w:t>
      </w:r>
      <w:r>
        <w:rPr>
          <w:rFonts w:ascii="Times New Roman" w:cs="Times New Roman" w:eastAsia="Times New Roman" w:hAnsi="Times New Roman"/>
          <w:sz w:val="24"/>
          <w:szCs w:val="24"/>
        </w:rPr>
        <w:t xml:space="preserve">. Em corpos d’água amazônicos, a concentração de sólidos suspensos costuma guardar relação de mesma ordem de grandeza com a turbidez, e não relação da ordem de 1/400, como resulta dos valores reportados;</w:t>
      </w:r>
    </w:p>
    <w:p>
      <w:pPr>
        <w:spacing w:after="160" w:line="276"/>
        <w:ind w:left="720"/>
        <w:jc w:val="both"/>
      </w:pPr>
      <w:r>
        <w:rPr>
          <w:rFonts w:ascii="Times New Roman" w:cs="Times New Roman" w:eastAsia="Times New Roman" w:hAnsi="Times New Roman"/>
          <w:sz w:val="24"/>
          <w:szCs w:val="24"/>
        </w:rPr>
        <w:t xml:space="preserve">b) </w:t>
      </w:r>
      <w:r>
        <w:rPr>
          <w:rFonts w:ascii="Times New Roman" w:cs="Times New Roman" w:eastAsia="Times New Roman" w:hAnsi="Times New Roman"/>
          <w:b/>
          <w:bCs/>
          <w:sz w:val="24"/>
          <w:szCs w:val="24"/>
        </w:rPr>
        <w:t xml:space="preserve">o limite de quantificação usual da técnica gravimétrica</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Standard Methods</w:t>
      </w:r>
      <w:r>
        <w:rPr>
          <w:rFonts w:ascii="Times New Roman" w:cs="Times New Roman" w:eastAsia="Times New Roman" w:hAnsi="Times New Roman"/>
          <w:sz w:val="24"/>
          <w:szCs w:val="24"/>
        </w:rPr>
        <w:t xml:space="preserve"> 2540 D), que ordinariamente não resolve massas correspondentes a concentrações da ordem de 0,03 a 0,3 mg/L nos volumes de amostra habitualmente filtrados.</w:t>
      </w:r>
    </w:p>
    <w:p>
      <w:pPr>
        <w:spacing w:after="160" w:line="276"/>
        <w:ind w:left="0"/>
        <w:jc w:val="both"/>
      </w:pPr>
      <w:r>
        <w:rPr>
          <w:rFonts w:ascii="Times New Roman" w:cs="Times New Roman" w:eastAsia="Times New Roman" w:hAnsi="Times New Roman"/>
          <w:sz w:val="24"/>
          <w:szCs w:val="24"/>
        </w:rPr>
        <w:t xml:space="preserve">10. </w:t>
      </w:r>
      <w:r>
        <w:rPr>
          <w:rFonts w:ascii="Times New Roman" w:cs="Times New Roman" w:eastAsia="Times New Roman" w:hAnsi="Times New Roman"/>
          <w:sz w:val="24"/>
          <w:szCs w:val="24"/>
        </w:rPr>
        <w:t xml:space="preserve">Esclarecemos que </w:t>
      </w:r>
      <w:r>
        <w:rPr>
          <w:rFonts w:ascii="Times New Roman" w:cs="Times New Roman" w:eastAsia="Times New Roman" w:hAnsi="Times New Roman"/>
          <w:b/>
          <w:bCs/>
          <w:sz w:val="24"/>
          <w:szCs w:val="24"/>
        </w:rPr>
        <w:t xml:space="preserve">não se trata de questionamento sobre transcrição de dados por parte desta Secretaria</w:t>
      </w:r>
      <w:r>
        <w:rPr>
          <w:rFonts w:ascii="Times New Roman" w:cs="Times New Roman" w:eastAsia="Times New Roman" w:hAnsi="Times New Roman"/>
          <w:sz w:val="24"/>
          <w:szCs w:val="24"/>
        </w:rPr>
        <w:t xml:space="preserve">: os valores conferidos em nosso sistema correspondem exatamente aos impressos nos laudos. A dúvida recai sobre a unidade e o método empregados.</w:t>
      </w:r>
    </w:p>
    <w:p>
      <w:pPr>
        <w:spacing w:after="160" w:line="276"/>
        <w:ind w:left="0"/>
        <w:jc w:val="both"/>
      </w:pPr>
      <w:r>
        <w:rPr>
          <w:rFonts w:ascii="Times New Roman" w:cs="Times New Roman" w:eastAsia="Times New Roman" w:hAnsi="Times New Roman"/>
          <w:sz w:val="24"/>
          <w:szCs w:val="24"/>
        </w:rPr>
        <w:t xml:space="preserve">11. </w:t>
      </w:r>
      <w:r>
        <w:rPr>
          <w:rFonts w:ascii="Times New Roman" w:cs="Times New Roman" w:eastAsia="Times New Roman" w:hAnsi="Times New Roman"/>
          <w:b/>
          <w:bCs/>
          <w:sz w:val="24"/>
          <w:szCs w:val="24"/>
        </w:rPr>
        <w:t xml:space="preserve">Solicitamos, portanto, esclarecimento sobre:</w:t>
      </w:r>
    </w:p>
    <w:p>
      <w:pPr>
        <w:spacing w:after="160" w:line="276"/>
        <w:ind w:left="720"/>
        <w:jc w:val="both"/>
      </w:pPr>
      <w:r>
        <w:rPr>
          <w:rFonts w:ascii="Times New Roman" w:cs="Times New Roman" w:eastAsia="Times New Roman" w:hAnsi="Times New Roman"/>
          <w:sz w:val="24"/>
          <w:szCs w:val="24"/>
        </w:rPr>
        <w:t xml:space="preserve">a) </w:t>
      </w:r>
      <w:r>
        <w:rPr>
          <w:rFonts w:ascii="Times New Roman" w:cs="Times New Roman" w:eastAsia="Times New Roman" w:hAnsi="Times New Roman"/>
          <w:sz w:val="24"/>
          <w:szCs w:val="24"/>
        </w:rPr>
        <w:t xml:space="preserve">se a unidade impressa para Sólidos Suspensos — </w:t>
      </w:r>
      <w:r>
        <w:rPr>
          <w:rFonts w:ascii="Times New Roman" w:cs="Times New Roman" w:eastAsia="Times New Roman" w:hAnsi="Times New Roman"/>
          <w:b/>
          <w:bCs/>
          <w:sz w:val="24"/>
          <w:szCs w:val="24"/>
        </w:rPr>
        <w:t xml:space="preserve">mg/l</w:t>
      </w:r>
      <w:r>
        <w:rPr>
          <w:rFonts w:ascii="Times New Roman" w:cs="Times New Roman" w:eastAsia="Times New Roman" w:hAnsi="Times New Roman"/>
          <w:sz w:val="24"/>
          <w:szCs w:val="24"/>
        </w:rPr>
        <w:t xml:space="preserve"> — está correta, ou se os resultados são expressos em outra unidade (por exemplo, g/L);</w:t>
      </w:r>
    </w:p>
    <w:p>
      <w:pPr>
        <w:spacing w:after="160" w:line="276"/>
        <w:ind w:left="720"/>
        <w:jc w:val="both"/>
      </w:pPr>
      <w:r>
        <w:rPr>
          <w:rFonts w:ascii="Times New Roman" w:cs="Times New Roman" w:eastAsia="Times New Roman" w:hAnsi="Times New Roman"/>
          <w:sz w:val="24"/>
          <w:szCs w:val="24"/>
        </w:rPr>
        <w:t xml:space="preserve">b) </w:t>
      </w:r>
      <w:r>
        <w:rPr>
          <w:rFonts w:ascii="Times New Roman" w:cs="Times New Roman" w:eastAsia="Times New Roman" w:hAnsi="Times New Roman"/>
          <w:sz w:val="24"/>
          <w:szCs w:val="24"/>
        </w:rPr>
        <w:t xml:space="preserve">o método analítico, o volume de amostra filtrado e o limite de quantificação praticados para esse parâmetro;</w:t>
      </w:r>
    </w:p>
    <w:p>
      <w:pPr>
        <w:spacing w:after="160" w:line="276"/>
        <w:ind w:left="720"/>
        <w:jc w:val="both"/>
      </w:pPr>
      <w:r>
        <w:rPr>
          <w:rFonts w:ascii="Times New Roman" w:cs="Times New Roman" w:eastAsia="Times New Roman" w:hAnsi="Times New Roman"/>
          <w:sz w:val="24"/>
          <w:szCs w:val="24"/>
        </w:rPr>
        <w:t xml:space="preserve">c) </w:t>
      </w:r>
      <w:r>
        <w:rPr>
          <w:rFonts w:ascii="Times New Roman" w:cs="Times New Roman" w:eastAsia="Times New Roman" w:hAnsi="Times New Roman"/>
          <w:sz w:val="24"/>
          <w:szCs w:val="24"/>
        </w:rPr>
        <w:t xml:space="preserve">se os Sólidos Totais Dissolvidos são determinados por gravimetria ou estimados a partir da condutividade elétrica.</w:t>
      </w:r>
    </w:p>
    <w:p>
      <w:pPr>
        <w:spacing w:after="200" w:before="320"/>
        <w:jc w:val="left"/>
      </w:pPr>
      <w:r>
        <w:rPr>
          <w:rFonts w:ascii="Times New Roman" w:cs="Times New Roman" w:eastAsia="Times New Roman" w:hAnsi="Times New Roman"/>
          <w:b/>
          <w:bCs/>
          <w:sz w:val="24"/>
          <w:szCs w:val="24"/>
        </w:rPr>
        <w:t xml:space="preserve">III – ALCANCE E PROVIDÊNCIAS</w:t>
      </w:r>
    </w:p>
    <w:p>
      <w:pPr>
        <w:spacing w:after="160" w:line="276"/>
        <w:ind w:left="0"/>
        <w:jc w:val="both"/>
      </w:pPr>
      <w:r>
        <w:rPr>
          <w:rFonts w:ascii="Times New Roman" w:cs="Times New Roman" w:eastAsia="Times New Roman" w:hAnsi="Times New Roman"/>
          <w:sz w:val="24"/>
          <w:szCs w:val="24"/>
        </w:rPr>
        <w:t xml:space="preserve">12. </w:t>
      </w:r>
      <w:r>
        <w:rPr>
          <w:rFonts w:ascii="Times New Roman" w:cs="Times New Roman" w:eastAsia="Times New Roman" w:hAnsi="Times New Roman"/>
          <w:sz w:val="24"/>
          <w:szCs w:val="24"/>
        </w:rPr>
        <w:t xml:space="preserve">Informamos que </w:t>
      </w:r>
      <w:r>
        <w:rPr>
          <w:rFonts w:ascii="Times New Roman" w:cs="Times New Roman" w:eastAsia="Times New Roman" w:hAnsi="Times New Roman"/>
          <w:b/>
          <w:bCs/>
          <w:sz w:val="24"/>
          <w:szCs w:val="24"/>
        </w:rPr>
        <w:t xml:space="preserve">228 coletas da série histórica encontram-se retidas em quarentena</w:t>
      </w:r>
      <w:r>
        <w:rPr>
          <w:rFonts w:ascii="Times New Roman" w:cs="Times New Roman" w:eastAsia="Times New Roman" w:hAnsi="Times New Roman"/>
          <w:sz w:val="24"/>
          <w:szCs w:val="24"/>
        </w:rPr>
        <w:t xml:space="preserve"> em nosso sistema, sem incorporação aos relatórios oficiais e ao painel público de qualidade da água, exatamente em razão da pendência descrita no item II. A resposta a este ofício é condição para a liberação desses registros ou para a sua correção formal.</w:t>
      </w:r>
    </w:p>
    <w:p>
      <w:pPr>
        <w:spacing w:after="160" w:line="276"/>
        <w:ind w:left="0"/>
        <w:jc w:val="both"/>
      </w:pPr>
      <w:r>
        <w:rPr>
          <w:rFonts w:ascii="Times New Roman" w:cs="Times New Roman" w:eastAsia="Times New Roman" w:hAnsi="Times New Roman"/>
          <w:sz w:val="24"/>
          <w:szCs w:val="24"/>
        </w:rPr>
        <w:t xml:space="preserve">13. </w:t>
      </w:r>
      <w:r>
        <w:rPr>
          <w:rFonts w:ascii="Times New Roman" w:cs="Times New Roman" w:eastAsia="Times New Roman" w:hAnsi="Times New Roman"/>
          <w:sz w:val="24"/>
          <w:szCs w:val="24"/>
        </w:rPr>
        <w:t xml:space="preserve">Requeremos, adicionalmente, que os laudos futuros passem a </w:t>
      </w:r>
      <w:r>
        <w:rPr>
          <w:rFonts w:ascii="Times New Roman" w:cs="Times New Roman" w:eastAsia="Times New Roman" w:hAnsi="Times New Roman"/>
          <w:b/>
          <w:bCs/>
          <w:sz w:val="24"/>
          <w:szCs w:val="24"/>
        </w:rPr>
        <w:t xml:space="preserve">explicitar a base de reporte do Ortofosfato Dissolvido</w:t>
      </w:r>
      <w:r>
        <w:rPr>
          <w:rFonts w:ascii="Times New Roman" w:cs="Times New Roman" w:eastAsia="Times New Roman" w:hAnsi="Times New Roman"/>
          <w:sz w:val="24"/>
          <w:szCs w:val="24"/>
        </w:rPr>
        <w:t xml:space="preserve"> na coluna UNIDADES (mg/L PO</w:t>
      </w:r>
      <w:r>
        <w:rPr>
          <w:rFonts w:ascii="Times New Roman" w:cs="Times New Roman" w:eastAsia="Times New Roman" w:hAnsi="Times New Roman"/>
          <w:sz w:val="24"/>
          <w:szCs w:val="24"/>
          <w:vertAlign w:val="subscript"/>
        </w:rPr>
        <w:t xml:space="preserve">4</w:t>
      </w:r>
      <w:r>
        <w:rPr>
          <w:rFonts w:ascii="Times New Roman" w:cs="Times New Roman" w:eastAsia="Times New Roman" w:hAnsi="Times New Roman"/>
          <w:sz w:val="24"/>
          <w:szCs w:val="24"/>
        </w:rPr>
        <w:t xml:space="preserve"> ou mg/L P), a exemplo do que já é feito para Fósforo Total, Nitrogênio e Cloreto, de modo a prevenir a repetição da dúvida ora suscitada.</w:t>
      </w:r>
    </w:p>
    <w:p>
      <w:pPr>
        <w:spacing w:after="160" w:line="276"/>
        <w:ind w:left="0"/>
        <w:jc w:val="both"/>
      </w:pPr>
      <w:r>
        <w:rPr>
          <w:rFonts w:ascii="Times New Roman" w:cs="Times New Roman" w:eastAsia="Times New Roman" w:hAnsi="Times New Roman"/>
          <w:sz w:val="24"/>
          <w:szCs w:val="24"/>
        </w:rPr>
        <w:t xml:space="preserve">14. </w:t>
      </w:r>
      <w:r>
        <w:rPr>
          <w:rFonts w:ascii="Times New Roman" w:cs="Times New Roman" w:eastAsia="Times New Roman" w:hAnsi="Times New Roman"/>
          <w:sz w:val="24"/>
          <w:szCs w:val="24"/>
        </w:rPr>
        <w:t xml:space="preserve">Solicitamos resposta no prazo de </w:t>
      </w:r>
      <w:r>
        <w:rPr>
          <w:rFonts w:ascii="Times New Roman" w:cs="Times New Roman" w:eastAsia="Times New Roman" w:hAnsi="Times New Roman"/>
          <w:b/>
          <w:bCs/>
          <w:sz w:val="24"/>
          <w:szCs w:val="24"/>
        </w:rPr>
        <w:t xml:space="preserve">______ (____________) dias</w:t>
      </w:r>
      <w:r>
        <w:rPr>
          <w:rFonts w:ascii="Times New Roman" w:cs="Times New Roman" w:eastAsia="Times New Roman" w:hAnsi="Times New Roman"/>
          <w:sz w:val="24"/>
          <w:szCs w:val="24"/>
        </w:rPr>
        <w:t xml:space="preserve"> contados do recebimento, preferencialmente acompanhada dos procedimentos operacionais padrão dos parâmetros mencionados.</w:t>
      </w:r>
    </w:p>
    <w:p>
      <w:pPr>
        <w:spacing w:after="160" w:line="276"/>
        <w:ind w:left="0"/>
        <w:jc w:val="both"/>
      </w:pPr>
      <w:r>
        <w:rPr>
          <w:rFonts w:ascii="Times New Roman" w:cs="Times New Roman" w:eastAsia="Times New Roman" w:hAnsi="Times New Roman"/>
          <w:sz w:val="24"/>
          <w:szCs w:val="24"/>
        </w:rPr>
        <w:t xml:space="preserve">15. </w:t>
      </w:r>
      <w:r>
        <w:rPr>
          <w:rFonts w:ascii="Times New Roman" w:cs="Times New Roman" w:eastAsia="Times New Roman" w:hAnsi="Times New Roman"/>
          <w:sz w:val="24"/>
          <w:szCs w:val="24"/>
        </w:rPr>
        <w:t xml:space="preserve">Colocamo-nos à disposição para reunião técnica, presencial ou remota, caso essa seja a forma mais eficiente de esclarecer os pontos levantados.</w:t>
      </w:r>
    </w:p>
    <w:p>
      <w:pPr>
        <w:spacing w:after="0"/>
      </w:pPr>
      <w:r>
        <w:rPr>
          <w:rFonts w:ascii="Times New Roman" w:cs="Times New Roman" w:eastAsia="Times New Roman" w:hAnsi="Times New Roman"/>
          <w:sz w:val="24"/>
          <w:szCs w:val="24"/>
        </w:rPr>
        <w:t xml:space="preserve"/>
      </w:r>
    </w:p>
    <w:p>
      <w:pPr>
        <w:spacing w:after="0" w:line="276"/>
        <w:jc w:val="left"/>
      </w:pPr>
      <w:r>
        <w:rPr>
          <w:rFonts w:ascii="Times New Roman" w:cs="Times New Roman" w:eastAsia="Times New Roman" w:hAnsi="Times New Roman"/>
          <w:sz w:val="24"/>
          <w:szCs w:val="24"/>
        </w:rPr>
        <w:t xml:space="preserve">Atenciosamente,</w:t>
      </w:r>
    </w:p>
    <w:p>
      <w:pPr>
        <w:spacing w:after="0"/>
      </w:pPr>
      <w:r>
        <w:rPr>
          <w:rFonts w:ascii="Times New Roman" w:cs="Times New Roman" w:eastAsia="Times New Roman" w:hAnsi="Times New Roman"/>
          <w:sz w:val="24"/>
          <w:szCs w:val="24"/>
        </w:rPr>
        <w:t xml:space="preserve"/>
      </w:r>
    </w:p>
    <w:p>
      <w:pPr>
        <w:spacing w:after="0"/>
      </w:pPr>
      <w:r>
        <w:rPr>
          <w:rFonts w:ascii="Times New Roman" w:cs="Times New Roman" w:eastAsia="Times New Roman" w:hAnsi="Times New Roman"/>
          <w:sz w:val="24"/>
          <w:szCs w:val="24"/>
        </w:rPr>
        <w:t xml:space="preserve"/>
      </w:r>
    </w:p>
    <w:p>
      <w:pPr>
        <w:spacing w:after="0"/>
      </w:pPr>
      <w:r>
        <w:rPr>
          <w:rFonts w:ascii="Times New Roman" w:cs="Times New Roman" w:eastAsia="Times New Roman" w:hAnsi="Times New Roman"/>
          <w:sz w:val="24"/>
          <w:szCs w:val="24"/>
        </w:rPr>
        <w:t xml:space="preserve"/>
      </w:r>
    </w:p>
    <w:p>
      <w:pPr>
        <w:spacing w:after="0"/>
      </w:pPr>
      <w:r>
        <w:rPr>
          <w:rFonts w:ascii="Times New Roman" w:cs="Times New Roman" w:eastAsia="Times New Roman" w:hAnsi="Times New Roman"/>
          <w:sz w:val="24"/>
          <w:szCs w:val="24"/>
        </w:rPr>
        <w:t xml:space="preserve"/>
      </w:r>
    </w:p>
    <w:p>
      <w:pPr>
        <w:spacing w:after="0" w:line="276"/>
        <w:jc w:val="center"/>
      </w:pPr>
      <w:r>
        <w:rPr>
          <w:rFonts w:ascii="Times New Roman" w:cs="Times New Roman" w:eastAsia="Times New Roman" w:hAnsi="Times New Roman"/>
          <w:sz w:val="24"/>
          <w:szCs w:val="24"/>
        </w:rPr>
        <w:t xml:space="preserve">__________________________________________</w:t>
      </w:r>
    </w:p>
    <w:p>
      <w:pPr>
        <w:spacing w:after="0" w:line="276"/>
        <w:jc w:val="center"/>
      </w:pPr>
      <w:r>
        <w:rPr>
          <w:rFonts w:ascii="Times New Roman" w:cs="Times New Roman" w:eastAsia="Times New Roman" w:hAnsi="Times New Roman"/>
          <w:b/>
          <w:bCs/>
          <w:sz w:val="24"/>
          <w:szCs w:val="24"/>
        </w:rPr>
        <w:t xml:space="preserve">Erisson Cameli Santiago</w:t>
      </w:r>
    </w:p>
    <w:p>
      <w:pPr>
        <w:spacing w:after="0" w:line="276"/>
        <w:jc w:val="center"/>
      </w:pPr>
      <w:r>
        <w:rPr>
          <w:rFonts w:ascii="Times New Roman" w:cs="Times New Roman" w:eastAsia="Times New Roman" w:hAnsi="Times New Roman"/>
          <w:sz w:val="24"/>
          <w:szCs w:val="24"/>
        </w:rPr>
        <w:t xml:space="preserve">Diretor de Monitoramento Ambiental – DIMA</w:t>
      </w:r>
    </w:p>
    <w:p>
      <w:pPr>
        <w:spacing w:after="400" w:line="276"/>
        <w:jc w:val="center"/>
      </w:pPr>
      <w:r>
        <w:rPr>
          <w:rFonts w:ascii="Times New Roman" w:cs="Times New Roman" w:eastAsia="Times New Roman" w:hAnsi="Times New Roman"/>
          <w:sz w:val="24"/>
          <w:szCs w:val="24"/>
        </w:rPr>
        <w:t xml:space="preserve">Secretaria de Estado de Meio Ambiente do Acre</w:t>
      </w:r>
    </w:p>
    <w:p>
      <w:pPr>
        <w:spacing w:after="60" w:line="276"/>
        <w:jc w:val="left"/>
      </w:pPr>
      <w:r>
        <w:rPr>
          <w:rFonts w:ascii="Times New Roman" w:cs="Times New Roman" w:eastAsia="Times New Roman" w:hAnsi="Times New Roman"/>
          <w:b/>
          <w:bCs/>
          <w:sz w:val="20"/>
          <w:szCs w:val="20"/>
        </w:rPr>
        <w:t xml:space="preserve">Anexos:</w:t>
      </w:r>
    </w:p>
    <w:p>
      <w:pPr>
        <w:spacing w:after="40" w:line="276"/>
        <w:jc w:val="left"/>
      </w:pPr>
      <w:r>
        <w:rPr>
          <w:rFonts w:ascii="Times New Roman" w:cs="Times New Roman" w:eastAsia="Times New Roman" w:hAnsi="Times New Roman"/>
          <w:sz w:val="20"/>
          <w:szCs w:val="20"/>
        </w:rPr>
        <w:t xml:space="preserve">I – Cópia dos Laudos Analíticos nº 1.304/2025 e nº 1.347/2025.</w:t>
      </w:r>
    </w:p>
    <w:p>
      <w:pPr>
        <w:spacing w:after="160" w:line="276"/>
        <w:jc w:val="left"/>
      </w:pPr>
      <w:r>
        <w:rPr>
          <w:rFonts w:ascii="Times New Roman" w:cs="Times New Roman" w:eastAsia="Times New Roman" w:hAnsi="Times New Roman"/>
          <w:sz w:val="20"/>
          <w:szCs w:val="20"/>
        </w:rPr>
        <w:t xml:space="preserve">II – Relação das 228 coletas retidas, com data, procedência e resultados de Sólidos Suspensos e turbidez.</w:t>
      </w:r>
    </w:p>
    <w:sectPr>
      <w:pgSz w:w="11906" w:h="16838" w:orient="portrait"/>
      <w:pgMar w:top="2268"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Ofício DIMA/SEMA-AC — consulta técnica QUILAB</dc:title>
  <dc:creator>SEMA-AC / DIMA</dc:creator>
  <dc:description>Consulta ao laboratório sobre base de reporte do ortofosfato dissolvido e sobre sólidos suspensos</dc:description>
  <cp:lastModifiedBy>Un-named</cp:lastModifiedBy>
  <cp:revision>1</cp:revision>
  <dcterms:created xsi:type="dcterms:W3CDTF">2026-09-03T21:39:35.256Z</dcterms:created>
  <dcterms:modified xsi:type="dcterms:W3CDTF">2026-09-03T21:39:35.256Z</dcterms:modified>
</cp:coreProperties>
</file>

<file path=docProps/custom.xml><?xml version="1.0" encoding="utf-8"?>
<Properties xmlns="http://schemas.openxmlformats.org/officeDocument/2006/custom-properties" xmlns:vt="http://schemas.openxmlformats.org/officeDocument/2006/docPropsVTypes"/>
</file>