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/>
      </w:pPr>
      <w:r>
        <w:t>电路交换与分组交换资源利用率比较</w:t>
      </w:r>
    </w:p>
    <w:p>
      <w:pPr>
        <w:spacing w:after="80"/>
      </w:pPr>
      <w:r>
        <w:t>现代交换原理实验一</w:t>
      </w:r>
    </w:p>
    <w:p>
      <w:pPr>
        <w:spacing w:after="80"/>
      </w:pPr>
      <w:r>
        <w:t>郑航宇  2024280087  GitHub erjimeidianle</w:t>
      </w:r>
    </w:p>
    <w:p>
      <w:pPr>
        <w:spacing w:after="80"/>
      </w:pPr>
      <w:r>
        <w:t>实验日期 2026年10月19日</w:t>
      </w:r>
    </w:p>
    <w:p>
      <w:r>
        <w:rPr>
          <w:rFonts w:ascii="Times New Roman" w:hAnsi="Times New Roman" w:eastAsia="SimSun"/>
          <w:color w:val="000000"/>
        </w:rPr>
        <w:t>实验结果表明，两种交换方式的优劣取决于业务负载。连续满载下电路有效利用率为100%，分组为79.6875%；错峰热点下分组有效利用率为75%、平均完成时延为1 ms，优于本次配置下的电路模型。下文给出模型、手算、真实数据、反例测试和包头参数实验。</w:t>
      </w:r>
    </w:p>
    <w:p>
      <w:pPr>
        <w:pStyle w:val="Heading1"/>
      </w:pPr>
      <w:r>
        <w:t>实验目的</w:t>
      </w:r>
    </w:p>
    <w:p>
      <w:r>
        <w:rPr>
          <w:rFonts w:ascii="Times New Roman" w:hAnsi="Times New Roman" w:eastAsia="SimSun"/>
          <w:color w:val="000000"/>
        </w:rPr>
        <w:t>在相同业务输入、链路容量、缓存和观察窗口下，比较固定时隙预留与共享 FIFO 的资源使用、完成时延、丢失和积压。通过先验手算、分项测试、真实仿真和参数变化判断结论的适用条件。</w:t>
      </w:r>
    </w:p>
    <w:p>
      <w:r>
        <w:rPr>
          <w:rFonts w:ascii="Times New Roman" w:hAnsi="Times New Roman" w:eastAsia="SimSun"/>
          <w:color w:val="000000"/>
        </w:rPr>
        <w:t xml:space="preserve">本报告由 Codex 辅助实现、推演、运行和整理。下述结果来自实际执行；本人已表示审阅完毕并授权提交，此记录不等同于独立推导或未使用AI的声明。真实协作过程见 </w:t>
      </w:r>
      <w:hyperlink r:id="rId9">
        <w:r>
          <w:rPr>
            <w:color w:val="215A85"/>
          </w:rPr>
          <w:t>AI_LOG.md</w:t>
        </w:r>
      </w:hyperlink>
      <w:r>
        <w:rPr>
          <w:rFonts w:ascii="Times New Roman" w:hAnsi="Times New Roman" w:eastAsia="SimSun"/>
          <w:color w:val="000000"/>
        </w:rPr>
        <w:t xml:space="preserve">，分阶段命令与日志见 </w:t>
      </w:r>
      <w:hyperlink r:id="rId10">
        <w:r>
          <w:rPr>
            <w:color w:val="215A85"/>
          </w:rPr>
          <w:t>执行记录</w:t>
        </w:r>
      </w:hyperlink>
      <w:r>
        <w:rPr>
          <w:rFonts w:ascii="Times New Roman" w:hAnsi="Times New Roman" w:eastAsia="SimSun"/>
          <w:color w:val="000000"/>
        </w:rPr>
        <w:t>。</w:t>
      </w:r>
    </w:p>
    <w:p>
      <w:pPr>
        <w:pStyle w:val="Heading1"/>
      </w:pPr>
      <w:r>
        <w:t>原理和模型</w:t>
      </w:r>
    </w:p>
    <w:p>
      <w:r>
        <w:rPr>
          <w:rFonts w:ascii="Times New Roman" w:hAnsi="Times New Roman" w:eastAsia="SimSun"/>
          <w:color w:val="000000"/>
        </w:rPr>
        <w:t>基线完整配置：</w:t>
      </w:r>
      <w:r>
        <w:rPr>
          <w:rFonts w:ascii="Consolas" w:hAnsi="Consolas" w:eastAsia="SimSun"/>
          <w:color w:val="000000"/>
          <w:sz w:val="19"/>
        </w:rPr>
        <w:t>users=4, ticks=256, slot_bits=128, tick_ms=1.0, header_bits=32, buffer_payload_bits=4096</w:t>
      </w:r>
      <w:r>
        <w:rPr>
          <w:rFonts w:ascii="Times New Roman" w:hAnsi="Times New Roman" w:eastAsia="SimSun"/>
          <w:color w:val="000000"/>
        </w:rPr>
        <w:t>，随机种子2026。窗口为[0,256)，总容量32768 bit，抽象链路速率128 kbit/s。</w:t>
      </w:r>
    </w:p>
    <w:p>
      <w:r>
        <w:rPr>
          <w:rFonts w:ascii="Times New Roman" w:hAnsi="Times New Roman" w:eastAsia="SimSun"/>
          <w:color w:val="000000"/>
        </w:rPr>
        <w:t xml:space="preserve">电路在 tick t 仅服务编号 </w:t>
      </w:r>
      <w:r>
        <w:rPr>
          <w:rFonts w:ascii="Consolas" w:hAnsi="Consolas" w:eastAsia="SimSun"/>
          <w:color w:val="000000"/>
          <w:sz w:val="19"/>
        </w:rPr>
        <w:t>t % users</w:t>
      </w:r>
      <w:r>
        <w:rPr>
          <w:rFonts w:ascii="Times New Roman" w:hAnsi="Times New Roman" w:eastAsia="SimSun"/>
          <w:color w:val="000000"/>
        </w:rPr>
        <w:t xml:space="preserve"> 的用户，队列为空就闲置，不借用配额；同一用户队列内 FIFO。分组使用共享 FIFO，包头只在准入时初始化一次，发送函数只扣 </w:t>
      </w:r>
      <w:r>
        <w:rPr>
          <w:rFonts w:ascii="Consolas" w:hAnsi="Consolas" w:eastAsia="SimSun"/>
          <w:color w:val="000000"/>
          <w:sz w:val="19"/>
        </w:rPr>
        <w:t>remaining_wire_bits</w:t>
      </w:r>
      <w:r>
        <w:rPr>
          <w:rFonts w:ascii="Times New Roman" w:hAnsi="Times New Roman" w:eastAsia="SimSun"/>
          <w:color w:val="000000"/>
        </w:rPr>
        <w:t>。发完一条后可用剩余预算处理下一条，未发完的队首跨 tick 保留，不交错发送。</w:t>
      </w:r>
    </w:p>
    <w:p>
      <w:r>
        <w:rPr>
          <w:rFonts w:ascii="Times New Roman" w:hAnsi="Times New Roman" w:eastAsia="SimSun"/>
          <w:color w:val="000000"/>
        </w:rPr>
        <w:t>每 tick 先按原始输入顺序准入，再发送，完成时间统一取 tick+1 边界。两模型均按未完成记录的</w:t>
      </w:r>
      <w:r>
        <w:rPr>
          <w:rFonts w:ascii="Times New Roman" w:hAnsi="Times New Roman" w:eastAsia="SimSun"/>
          <w:b/>
          <w:color w:val="000000"/>
        </w:rPr>
        <w:t>完整原始 payload</w:t>
      </w:r>
      <w:r>
        <w:rPr>
          <w:rFonts w:ascii="Times New Roman" w:hAnsi="Times New Roman" w:eastAsia="SimSun"/>
          <w:color w:val="000000"/>
        </w:rPr>
        <w:t>预留总缓存，包括在传记录；完整交付才释放。空间不足时整条尾丢弃，包头占线路容量而不占本实验的 payload 配额。窗口结束立即停止，不追加排空。</w:t>
      </w:r>
    </w:p>
    <w:p>
      <w:r>
        <w:rPr>
          <w:rFonts w:ascii="Times New Roman" w:hAnsi="Times New Roman" w:eastAsia="SimSun"/>
          <w:color w:val="000000"/>
        </w:rPr>
        <w:t>PCM 图是教师提供的辅助装帧工具由本次程序生成的演示，32时隙×8 bit×8000帧/s＝2.048 Mbit/s，不是本次128 kbit/s比较链路。TS0、TS16保留，255仅是示例空闲码。</w:t>
      </w:r>
    </w:p>
    <w:p>
      <w:pPr>
        <w:pStyle w:val="Heading2"/>
      </w:pPr>
      <w:r>
        <w:t>六项指标与单位</w:t>
      </w:r>
    </w:p>
    <w:p>
      <w:r>
        <w:rPr>
          <w:rFonts w:ascii="Times New Roman" w:hAnsi="Times New Roman" w:eastAsia="SimSun"/>
          <w:color w:val="000000"/>
        </w:rPr>
        <w:t>记生成、完整交付、尾丢弃、积压分别为 G、D、L、B（bit），实际发送线路量为 W（bit），总容量 C=ticks×slot_bits。</w:t>
      </w:r>
    </w:p>
    <w:p>
      <w:pPr>
        <w:keepNext/>
        <w:spacing w:before="120" w:after="100"/>
      </w:pPr>
      <w:r>
        <w:rPr>
          <w:rFonts w:ascii="Times New Roman" w:hAnsi="Times New Roman" w:eastAsia="SimSun"/>
          <w:b/>
          <w:color w:val="000000"/>
          <w:sz w:val="20"/>
        </w:rPr>
        <w:t>表 1  指标定义与计量单位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978"/>
        <w:gridCol w:w="7102"/>
      </w:tblGrid>
      <w:tr>
        <w:trPr>
          <w:cantSplit/>
          <w:tblHeader/>
        </w:trPr>
        <w:tc>
          <w:tcPr>
            <w:tcW w:type="dxa" w:w="29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返回键</w:t>
            </w:r>
          </w:p>
        </w:tc>
        <w:tc>
          <w:tcPr>
            <w:tcW w:type="dxa" w:w="7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定义和单位</w:t>
            </w:r>
          </w:p>
        </w:tc>
      </w:tr>
      <w:tr>
        <w:trPr>
          <w:cantSplit/>
        </w:trPr>
        <w:tc>
          <w:tcPr>
            <w:tcW w:type="dxa" w:w="29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payload_utilization</w:t>
            </w:r>
          </w:p>
        </w:tc>
        <w:tc>
          <w:tcPr>
            <w:tcW w:type="dxa" w:w="7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D/C，无量纲；表中以百分比表示</w:t>
            </w:r>
          </w:p>
        </w:tc>
      </w:tr>
      <w:tr>
        <w:trPr>
          <w:cantSplit/>
        </w:trPr>
        <w:tc>
          <w:tcPr>
            <w:tcW w:type="dxa" w:w="29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wire_utilization</w:t>
            </w:r>
          </w:p>
        </w:tc>
        <w:tc>
          <w:tcPr>
            <w:tcW w:type="dxa" w:w="7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W/C，无量纲，含包头与未完成记录已发部分</w:t>
            </w:r>
          </w:p>
        </w:tc>
      </w:tr>
      <w:tr>
        <w:trPr>
          <w:cantSplit/>
        </w:trPr>
        <w:tc>
          <w:tcPr>
            <w:tcW w:type="dxa" w:w="29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mean_delay_ms</w:t>
            </w:r>
          </w:p>
        </w:tc>
        <w:tc>
          <w:tcPr>
            <w:tcW w:type="dxa" w:w="7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已完成记录的 delay_ticks×tick_ms 的算术平均，ms</w:t>
            </w:r>
          </w:p>
        </w:tc>
      </w:tr>
      <w:tr>
        <w:trPr>
          <w:cantSplit/>
        </w:trPr>
        <w:tc>
          <w:tcPr>
            <w:tcW w:type="dxa" w:w="29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max_delay_ms</w:t>
            </w:r>
          </w:p>
        </w:tc>
        <w:tc>
          <w:tcPr>
            <w:tcW w:type="dxa" w:w="7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已完成记录的最大完成时延，ms</w:t>
            </w:r>
          </w:p>
        </w:tc>
      </w:tr>
      <w:tr>
        <w:trPr>
          <w:cantSplit/>
        </w:trPr>
        <w:tc>
          <w:tcPr>
            <w:tcW w:type="dxa" w:w="29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loss_ratio</w:t>
            </w:r>
          </w:p>
        </w:tc>
        <w:tc>
          <w:tcPr>
            <w:tcW w:type="dxa" w:w="7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L/G，无量纲；G=0时为0</w:t>
            </w:r>
          </w:p>
        </w:tc>
      </w:tr>
      <w:tr>
        <w:trPr>
          <w:cantSplit/>
        </w:trPr>
        <w:tc>
          <w:tcPr>
            <w:tcW w:type="dxa" w:w="29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backlog_payload_bits</w:t>
            </w:r>
          </w:p>
        </w:tc>
        <w:tc>
          <w:tcPr>
            <w:tcW w:type="dxa" w:w="71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全部未完成记录的原始payload总和，bit</w:t>
            </w:r>
          </w:p>
        </w:tc>
      </w:tr>
    </w:tbl>
    <w:p>
      <w:pPr>
        <w:spacing w:after="40" w:line="72" w:lineRule="auto"/>
      </w:pPr>
    </w:p>
    <w:p>
      <w:r>
        <w:rPr>
          <w:rFonts w:ascii="Times New Roman" w:hAnsi="Times New Roman" w:eastAsia="SimSun"/>
          <w:color w:val="000000"/>
        </w:rPr>
        <w:t xml:space="preserve">必须满足 G=D+L+B，不成立时 </w:t>
      </w:r>
      <w:r>
        <w:rPr>
          <w:rFonts w:ascii="Consolas" w:hAnsi="Consolas" w:eastAsia="SimSun"/>
          <w:color w:val="000000"/>
          <w:sz w:val="19"/>
        </w:rPr>
        <w:t>summarize</w:t>
      </w:r>
      <w:r>
        <w:rPr>
          <w:rFonts w:ascii="Times New Roman" w:hAnsi="Times New Roman" w:eastAsia="SimSun"/>
          <w:color w:val="000000"/>
        </w:rPr>
        <w:t xml:space="preserve"> 抛 </w:t>
      </w:r>
      <w:r>
        <w:rPr>
          <w:rFonts w:ascii="Consolas" w:hAnsi="Consolas" w:eastAsia="SimSun"/>
          <w:color w:val="000000"/>
          <w:sz w:val="19"/>
        </w:rPr>
        <w:t>ValueError</w:t>
      </w:r>
      <w:r>
        <w:rPr>
          <w:rFonts w:ascii="Times New Roman" w:hAnsi="Times New Roman" w:eastAsia="SimSun"/>
          <w:color w:val="000000"/>
        </w:rPr>
        <w:t xml:space="preserve">。部分发送只增加 W，不增加 D，也不减少 B 中对应记录的原始 payload。没有完成记录时两个时延为 </w:t>
      </w:r>
      <w:r>
        <w:rPr>
          <w:rFonts w:ascii="Consolas" w:hAnsi="Consolas" w:eastAsia="SimSun"/>
          <w:color w:val="000000"/>
          <w:sz w:val="19"/>
        </w:rPr>
        <w:t>None</w:t>
      </w:r>
      <w:r>
        <w:rPr>
          <w:rFonts w:ascii="Times New Roman" w:hAnsi="Times New Roman" w:eastAsia="SimSun"/>
          <w:color w:val="000000"/>
        </w:rPr>
        <w:t>（JSON null），因为没有样本，不能写成0 ms。</w:t>
      </w:r>
    </w:p>
    <w:p>
      <w:pPr>
        <w:pStyle w:val="Heading1"/>
      </w:pPr>
      <w:r>
        <w:t>两用户手工推演</w:t>
      </w:r>
    </w:p>
    <w:p>
      <w:r>
        <w:rPr>
          <w:rFonts w:ascii="Times New Roman" w:hAnsi="Times New Roman" w:eastAsia="SimSun"/>
          <w:color w:val="000000"/>
        </w:rPr>
        <w:t>以下预期在修改三个 TODO 前写入执行记录：2用户、2 tick、每tick128 bit/1 ms、包头32 bit、缓存足够；仅tick0用户1到达96 bit。</w:t>
      </w:r>
    </w:p>
    <w:p>
      <w:pPr>
        <w:keepNext/>
        <w:spacing w:before="120" w:after="100"/>
      </w:pPr>
      <w:r>
        <w:rPr>
          <w:rFonts w:ascii="Times New Roman" w:hAnsi="Times New Roman" w:eastAsia="SimSun"/>
          <w:b/>
          <w:color w:val="000000"/>
          <w:sz w:val="20"/>
        </w:rPr>
        <w:t>表 2  两用户手工推演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87"/>
        <w:gridCol w:w="3322"/>
        <w:gridCol w:w="3780"/>
        <w:gridCol w:w="2291"/>
      </w:tblGrid>
      <w:tr>
        <w:trPr>
          <w:cantSplit/>
          <w:tblHeader/>
        </w:trPr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tick</w:t>
            </w:r>
          </w:p>
        </w:tc>
        <w:tc>
          <w:tcPr>
            <w:tcW w:type="dxa" w:w="33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电路服务与发送</w:t>
            </w:r>
          </w:p>
        </w:tc>
        <w:tc>
          <w:tcPr>
            <w:tcW w:type="dxa" w:w="37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分组服务与发送</w:t>
            </w:r>
          </w:p>
        </w:tc>
        <w:tc>
          <w:tcPr>
            <w:tcW w:type="dxa" w:w="2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完成边界</w:t>
            </w:r>
          </w:p>
        </w:tc>
      </w:tr>
      <w:tr>
        <w:trPr>
          <w:cantSplit/>
        </w:trPr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0</w:t>
            </w:r>
          </w:p>
        </w:tc>
        <w:tc>
          <w:tcPr>
            <w:tcW w:type="dxa" w:w="33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用户0为空，发送0 bit</w:t>
            </w:r>
          </w:p>
        </w:tc>
        <w:tc>
          <w:tcPr>
            <w:tcW w:type="dxa" w:w="37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发送96+32=128 bit，整条完成</w:t>
            </w:r>
          </w:p>
        </w:tc>
        <w:tc>
          <w:tcPr>
            <w:tcW w:type="dxa" w:w="2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分组1 ms</w:t>
            </w:r>
          </w:p>
        </w:tc>
      </w:tr>
      <w:tr>
        <w:trPr>
          <w:cantSplit/>
        </w:trPr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1</w:t>
            </w:r>
          </w:p>
        </w:tc>
        <w:tc>
          <w:tcPr>
            <w:tcW w:type="dxa" w:w="33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用户1发送96 bit，整条完成</w:t>
            </w:r>
          </w:p>
        </w:tc>
        <w:tc>
          <w:tcPr>
            <w:tcW w:type="dxa" w:w="37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队列空，发送0 bit</w:t>
            </w:r>
          </w:p>
        </w:tc>
        <w:tc>
          <w:tcPr>
            <w:tcW w:type="dxa" w:w="2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rFonts w:ascii="Times New Roman" w:hAnsi="Times New Roman" w:eastAsia="SimSun"/>
                <w:color w:val="000000"/>
                <w:sz w:val="20"/>
              </w:rPr>
              <w:t>电路2 ms</w:t>
            </w:r>
          </w:p>
        </w:tc>
      </w:tr>
    </w:tbl>
    <w:p>
      <w:pPr>
        <w:spacing w:after="40" w:line="72" w:lineRule="auto"/>
      </w:pPr>
    </w:p>
    <w:p>
      <w:r>
        <w:rPr>
          <w:rFonts w:ascii="Times New Roman" w:hAnsi="Times New Roman" w:eastAsia="SimSun"/>
          <w:color w:val="000000"/>
        </w:rPr>
        <w:t>总容量256 bit，两者完整交付96 bit，有效利用率均96/256=37.5%。电路线路忙碌率37.5%，分组50%，完成时延分别2 ms与1 ms；两者均无丢失或积压。相同有效利用率并不意味着相同时延。</w:t>
      </w:r>
    </w:p>
    <w:p>
      <w:pPr>
        <w:pStyle w:val="Heading1"/>
      </w:pPr>
      <w:r>
        <w:t>四场景真实结果</w:t>
      </w:r>
    </w:p>
    <w:p>
      <w:r>
        <w:rPr>
          <w:rFonts w:ascii="Times New Roman" w:hAnsi="Times New Roman" w:eastAsia="SimSun"/>
          <w:color w:val="000000"/>
        </w:rPr>
        <w:t>每个场景先生成同一份 Arrival 列表，再分别运行两模型；没有为任一模型改变负载、包头规则、种子、缓存或排空时间。continuous每4 tick所有用户各到达128 bit；staggered_burst每tick一条96 bit，热点每64 tick轮换；synchronized_burst每80 tick各用户集中到达8条96 bit；light_random每用户每tick以0.08概率到达96 bit。</w:t>
      </w:r>
    </w:p>
    <w:p>
      <w:r>
        <w:rPr>
          <w:rFonts w:ascii="Times New Roman" w:hAnsi="Times New Roman" w:eastAsia="SimSun"/>
          <w:color w:val="000000"/>
        </w:rPr>
        <w:t>原始证据：</w:t>
      </w:r>
      <w:hyperlink r:id="rId11">
        <w:r>
          <w:rPr>
            <w:color w:val="215A85"/>
          </w:rPr>
          <w:t>JSON及轨迹</w:t>
        </w:r>
      </w:hyperlink>
      <w:r>
        <w:rPr>
          <w:rFonts w:ascii="Times New Roman" w:hAnsi="Times New Roman" w:eastAsia="SimSun"/>
          <w:color w:val="000000"/>
        </w:rPr>
        <w:t>、</w:t>
      </w:r>
      <w:hyperlink r:id="rId12">
        <w:r>
          <w:rPr>
            <w:color w:val="215A85"/>
          </w:rPr>
          <w:t>CSV</w:t>
        </w:r>
      </w:hyperlink>
      <w:r>
        <w:rPr>
          <w:rFonts w:ascii="Times New Roman" w:hAnsi="Times New Roman" w:eastAsia="SimSun"/>
          <w:color w:val="000000"/>
        </w:rPr>
        <w:t>。以下比率用百分比，时延四舍五入至4位小数；原始文件保留完整浮点值。</w:t>
      </w:r>
    </w:p>
    <w:p>
      <w:pPr>
        <w:keepNext/>
        <w:spacing w:before="120" w:after="100"/>
      </w:pPr>
      <w:r>
        <w:rPr>
          <w:rFonts w:ascii="Times New Roman" w:hAnsi="Times New Roman" w:eastAsia="SimSun"/>
          <w:b/>
          <w:color w:val="000000"/>
          <w:sz w:val="20"/>
        </w:rPr>
        <w:t>表 3  默认配置下的四场景指标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32"/>
        <w:gridCol w:w="687"/>
        <w:gridCol w:w="1375"/>
        <w:gridCol w:w="1375"/>
        <w:gridCol w:w="1317"/>
        <w:gridCol w:w="1317"/>
        <w:gridCol w:w="1145"/>
        <w:gridCol w:w="1432"/>
      </w:tblGrid>
      <w:tr>
        <w:trPr>
          <w:cantSplit/>
          <w:tblHeader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有效利用率</w:t>
              <w:br/>
              <w:t>%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线路忙碌率</w:t>
              <w:br/>
              <w:t>%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平均时延</w:t>
              <w:br/>
              <w:t>ms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最大时延</w:t>
              <w:br/>
              <w:t>ms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丢失率</w:t>
              <w:br/>
              <w:t>%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积压</w:t>
              <w:br/>
              <w:t>bit</w:t>
            </w:r>
          </w:p>
        </w:tc>
      </w:tr>
      <w:tr>
        <w:trPr>
          <w:cantSplit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连续满载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电路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100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100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2.5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4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连续满载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分组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79.6875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100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26.1471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40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8.9844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3712</w:t>
            </w:r>
          </w:p>
        </w:tc>
      </w:tr>
      <w:tr>
        <w:trPr>
          <w:cantSplit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错峰突发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电路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49.2188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49.5117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45.0952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127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18.3594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3936</w:t>
            </w:r>
          </w:p>
        </w:tc>
      </w:tr>
      <w:tr>
        <w:trPr>
          <w:cantSplit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错峰突发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分组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75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100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同步突发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电路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33.9844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34.375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12.7069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24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1152</w:t>
            </w:r>
          </w:p>
        </w:tc>
      </w:tr>
      <w:tr>
        <w:trPr>
          <w:cantSplit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同步突发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分组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32.8125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43.75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15.3571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1536</w:t>
            </w:r>
          </w:p>
        </w:tc>
      </w:tr>
      <w:tr>
        <w:trPr>
          <w:cantSplit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轻载随机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电路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21.0938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21.0938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3.1111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10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轻载随机</w:t>
            </w:r>
          </w:p>
        </w:tc>
        <w:tc>
          <w:tcPr>
            <w:tcW w:type="dxa" w:w="6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分组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21.0938</w:t>
            </w:r>
          </w:p>
        </w:tc>
        <w:tc>
          <w:tcPr>
            <w:tcW w:type="dxa" w:w="13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28.125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1.0972</w:t>
            </w:r>
          </w:p>
        </w:tc>
        <w:tc>
          <w:tcPr>
            <w:tcW w:type="dxa" w:w="13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</w:t>
            </w:r>
          </w:p>
        </w:tc>
        <w:tc>
          <w:tcPr>
            <w:tcW w:type="dxa" w:w="11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4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</w:tbl>
    <w:p>
      <w:pPr>
        <w:spacing w:after="40" w:line="72" w:lineRule="auto"/>
      </w:pPr>
    </w:p>
    <w:p>
      <w:r>
        <w:rPr>
          <w:rFonts w:ascii="Times New Roman" w:hAnsi="Times New Roman" w:eastAsia="SimSun"/>
          <w:color w:val="000000"/>
        </w:rPr>
        <w:t>原始payload守恒复核（全部单位bit）：</w:t>
      </w:r>
    </w:p>
    <w:p>
      <w:pPr>
        <w:keepNext/>
        <w:spacing w:before="120" w:after="100"/>
      </w:pPr>
      <w:r>
        <w:rPr>
          <w:rFonts w:ascii="Times New Roman" w:hAnsi="Times New Roman" w:eastAsia="SimSun"/>
          <w:b/>
          <w:color w:val="000000"/>
          <w:sz w:val="20"/>
        </w:rPr>
        <w:t>表 4  原始有效载荷守恒核查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89"/>
        <w:gridCol w:w="1031"/>
        <w:gridCol w:w="1775"/>
        <w:gridCol w:w="1833"/>
        <w:gridCol w:w="1718"/>
        <w:gridCol w:w="2234"/>
      </w:tblGrid>
      <w:tr>
        <w:trPr>
          <w:cantSplit/>
          <w:tblHeader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生成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完整交付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尾丢弃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积压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连续满载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电路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32768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32768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连续满载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分组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32768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26112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2944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3712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错峰突发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电路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24576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16128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4512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3936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错峰突发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分组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24576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24576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同步突发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电路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12288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11136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1152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同步突发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分组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12288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10752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1536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轻载随机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电路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6912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6912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轻载随机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分组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6912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6912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</w:tbl>
    <w:p>
      <w:pPr>
        <w:spacing w:after="40" w:line="72" w:lineRule="auto"/>
      </w:pP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103120"/>
            <wp:docPr id="1" name="Picture 1" descr="三项指标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color w:val="000000"/>
          <w:sz w:val="19"/>
        </w:rPr>
        <w:t>图 1  三项指标比较</w:t>
      </w:r>
    </w:p>
    <w:p>
      <w:r>
        <w:rPr>
          <w:rFonts w:ascii="Times New Roman" w:hAnsi="Times New Roman" w:eastAsia="SimSun"/>
          <w:color w:val="000000"/>
        </w:rPr>
        <w:t>连续满载且各用户供给均匀时，电路配额均被使用，没有分组头开销。分组线路虽也100%忙碌，却只完整交付26112 bit，且有2944 bit丢弃、3712 bit积压；忙碌不等于有效吞吐更高。</w:t>
      </w:r>
    </w:p>
    <w:p>
      <w:r>
        <w:rPr>
          <w:rFonts w:ascii="Times New Roman" w:hAnsi="Times New Roman" w:eastAsia="SimSun"/>
          <w:color w:val="000000"/>
        </w:rPr>
        <w:t>错峰热点场景下，电路空闲用户的时隙不能借给热点，积压接近缓存上限，尾丢弃4512 bit。共享FIFO能每tick完整发送一条96+32 bit记录，零丢失、零积压，平均完成时延1 ms；该条件下统计复用有明显优势。</w:t>
      </w:r>
    </w:p>
    <w:p>
      <w:r>
        <w:rPr>
          <w:rFonts w:ascii="Times New Roman" w:hAnsi="Times New Roman" w:eastAsia="SimSun"/>
          <w:color w:val="000000"/>
        </w:rPr>
        <w:t>同步突发时两者均排队，分组头增加线路工作量。窗口末尾最后一批未全部送达，分组积压1536 bit，比电路1152 bit更多；完成样本的平均时延不能代表尚未完成的记录。积压保留在缓存中，不能当成已经丢弃的数据。</w:t>
      </w:r>
    </w:p>
    <w:p>
      <w:r>
        <w:rPr>
          <w:rFonts w:ascii="Times New Roman" w:hAnsi="Times New Roman" w:eastAsia="SimSun"/>
          <w:color w:val="000000"/>
        </w:rPr>
        <w:t>轻载下两者都交付6912 bit，有效利用率完全相同，但分组平均时延约1.0972 ms，小于电路3.1111 ms；分组也因包头多使用线路容量。它与两用户手算一起说明，要明确比较的是有效吞吐、资源开销还是时延。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44800"/>
            <wp:docPr id="2" name="Picture 2" descr="错峰业务缓存占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_occupa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color w:val="000000"/>
          <w:sz w:val="19"/>
        </w:rPr>
        <w:t>图 2  错峰业务缓存占用</w:t>
      </w:r>
    </w:p>
    <w:p>
      <w:r>
        <w:rPr>
          <w:rFonts w:ascii="Times New Roman" w:hAnsi="Times New Roman" w:eastAsia="SimSun"/>
          <w:color w:val="000000"/>
        </w:rPr>
        <w:t>队列图记录每tick服务后的原始payload预留量。电路曲线接近4096 bit配额；分组在该场景每tick恰好完成一条，因此服务后为0，不表示tick开始从未有记录进入缓存。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745673"/>
            <wp:docPr id="3" name="Picture 3" descr="PCM辅助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m_frame_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color w:val="000000"/>
          <w:sz w:val="19"/>
        </w:rPr>
        <w:t>图 3  PCM辅助示例</w:t>
      </w:r>
    </w:p>
    <w:p>
      <w:pPr>
        <w:pStyle w:val="Heading1"/>
      </w:pPr>
      <w:r>
        <w:t>自拟反例 在传缓存的释放时刻</w:t>
      </w:r>
    </w:p>
    <w:p>
      <w:r>
        <w:rPr>
          <w:rFonts w:ascii="Times New Roman" w:hAnsi="Times New Roman" w:eastAsia="SimSun"/>
          <w:color w:val="000000"/>
        </w:rPr>
        <w:t xml:space="preserve">详见 </w:t>
      </w:r>
      <w:hyperlink r:id="rId16">
        <w:r>
          <w:rPr>
            <w:color w:val="215A85"/>
          </w:rPr>
          <w:t>test_my_case.py</w:t>
        </w:r>
      </w:hyperlink>
      <w:r>
        <w:rPr>
          <w:rFonts w:ascii="Times New Roman" w:hAnsi="Times New Roman" w:eastAsia="SimSun"/>
          <w:color w:val="000000"/>
        </w:rPr>
        <w:t>。本案例由AI在本次任务中提出并编写，经过实际运行；不声称是本人在未使用AI情况下独立创作。</w:t>
      </w:r>
    </w:p>
    <w:p>
      <w:r>
        <w:rPr>
          <w:rFonts w:ascii="Times New Roman" w:hAnsi="Times New Roman" w:eastAsia="SimSun"/>
          <w:color w:val="000000"/>
        </w:rPr>
        <w:t>packet配置：users=2、ticks=3、slot_bits=128、tick_ms=1、header_bits=32、buffer_payload_bits=200。到达为(0,1,200)、(1,0,64)、(2,0,200)，三元组依次代表tick、user、payload bit。</w:t>
      </w:r>
    </w:p>
    <w:p>
      <w:r>
        <w:rPr>
          <w:rFonts w:ascii="Times New Roman" w:hAnsi="Times New Roman" w:eastAsia="SimSun"/>
          <w:color w:val="000000"/>
        </w:rPr>
        <w:t>先验推导：tick0发送128，第一条还剩104 wire bit，但仍占200 payload bit；tick1先到达64，因200+64超额被整条丢弃，然后发送104、完成旧记录并释放缓存；tick2新200准入，发送128，窗口结束留200 bit积压。</w:t>
      </w:r>
    </w:p>
    <w:p>
      <w:r>
        <w:rPr>
          <w:rFonts w:ascii="Times New Roman" w:hAnsi="Times New Roman" w:eastAsia="SimSun"/>
          <w:color w:val="000000"/>
        </w:rPr>
        <w:t>关键断言：发送轨迹[128,104,128]，缓存轨迹[200,0,200]，唯一完成记录为user1/payload200/delay2；464=200+64+200。有效利用率200/384、线路忙碌率360/384、丢失率64/464，平均与最大时延2 ms。实际pytest为1 passed。</w:t>
      </w:r>
    </w:p>
    <w:p>
      <w:r>
        <w:rPr>
          <w:rFonts w:ascii="Times New Roman" w:hAnsi="Times New Roman" w:eastAsia="SimSun"/>
          <w:color w:val="000000"/>
        </w:rPr>
        <w:t>这能发现部分发送后提前缩减缓存占用、先发送后准入、部分发送误记完整交付、窗口结束继续排空等错误。断言同时检查轨迹与最终指标，不能仅靠守恒掩盖错误的准入顺序。</w:t>
      </w:r>
    </w:p>
    <w:p>
      <w:pPr>
        <w:pStyle w:val="Heading1"/>
      </w:pPr>
      <w:r>
        <w:t>包头参数变化实验</w:t>
      </w:r>
    </w:p>
    <w:p>
      <w:r>
        <w:rPr>
          <w:rFonts w:ascii="Times New Roman" w:hAnsi="Times New Roman" w:eastAsia="SimSun"/>
          <w:color w:val="000000"/>
        </w:rPr>
        <w:t>通过既有Config入口分别设置header_bits=0、32、64；其他五个Config字段保持基线，seed=2026，每场景Arrival与基线完全相同。0 bit是抽象的无头开销对照，不表示真实网络可取消协议头。脚本：</w:t>
      </w:r>
      <w:hyperlink r:id="rId17">
        <w:r>
          <w:rPr>
            <w:color w:val="215A85"/>
          </w:rPr>
          <w:t>header_experiment.py</w:t>
        </w:r>
      </w:hyperlink>
      <w:r>
        <w:rPr>
          <w:rFonts w:ascii="Times New Roman" w:hAnsi="Times New Roman" w:eastAsia="SimSun"/>
          <w:color w:val="000000"/>
        </w:rPr>
        <w:t>。</w:t>
      </w:r>
    </w:p>
    <w:p>
      <w:r>
        <w:rPr>
          <w:rFonts w:ascii="Times New Roman" w:hAnsi="Times New Roman" w:eastAsia="SimSun"/>
          <w:color w:val="000000"/>
        </w:rPr>
        <w:t>产物独立保存：</w:t>
      </w:r>
      <w:hyperlink r:id="rId18">
        <w:r>
          <w:rPr>
            <w:color w:val="215A85"/>
          </w:rPr>
          <w:t>完整参数和24组轨迹</w:t>
        </w:r>
      </w:hyperlink>
      <w:r>
        <w:rPr>
          <w:rFonts w:ascii="Times New Roman" w:hAnsi="Times New Roman" w:eastAsia="SimSun"/>
          <w:color w:val="000000"/>
        </w:rPr>
        <w:t>、</w:t>
      </w:r>
      <w:hyperlink r:id="rId19">
        <w:r>
          <w:rPr>
            <w:color w:val="215A85"/>
          </w:rPr>
          <w:t>24行CSV</w:t>
        </w:r>
      </w:hyperlink>
      <w:r>
        <w:rPr>
          <w:rFonts w:ascii="Times New Roman" w:hAnsi="Times New Roman" w:eastAsia="SimSun"/>
          <w:color w:val="000000"/>
        </w:rPr>
        <w:t>。下表仅列分组指标，电路全部raw在三种配置中完全一致。</w:t>
      </w:r>
    </w:p>
    <w:p>
      <w:pPr>
        <w:keepNext/>
        <w:spacing w:before="120" w:after="100"/>
      </w:pPr>
      <w:r>
        <w:rPr>
          <w:rFonts w:ascii="Times New Roman" w:hAnsi="Times New Roman" w:eastAsia="SimSun"/>
          <w:b/>
          <w:color w:val="000000"/>
          <w:sz w:val="20"/>
        </w:rPr>
        <w:t>表 5  包头参数变化下的分组指标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89"/>
        <w:gridCol w:w="1031"/>
        <w:gridCol w:w="1775"/>
        <w:gridCol w:w="1833"/>
        <w:gridCol w:w="1718"/>
        <w:gridCol w:w="2234"/>
      </w:tblGrid>
      <w:tr>
        <w:trPr>
          <w:cantSplit/>
          <w:tblHeader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包头bit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有效利用率</w:t>
              <w:br/>
              <w:t>%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平均时延</w:t>
              <w:br/>
              <w:t>ms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丢失率</w:t>
              <w:br/>
              <w:t>%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积压</w:t>
              <w:br/>
              <w:t>bit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连续满载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100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2.5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连续满载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79.6875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26.1471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8.9844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3712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连续满载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64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66.4062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35.3706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21.875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3840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错峰突发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75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错峰突发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75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错峰突发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64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59.7656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27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3.9062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4032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同步突发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34.2773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12.0085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1056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同步突发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32.8125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15.3571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1536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同步突发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64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31.6406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19.6111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1920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轻载随机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21.0938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1.0972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轻载随机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32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21.0938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1.0972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轻载随机</w:t>
            </w:r>
          </w:p>
        </w:tc>
        <w:tc>
          <w:tcPr>
            <w:tcW w:type="dxa" w:w="10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64</w:t>
            </w:r>
          </w:p>
        </w:tc>
        <w:tc>
          <w:tcPr>
            <w:tcW w:type="dxa" w:w="17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21.0938</w:t>
            </w:r>
          </w:p>
        </w:tc>
        <w:tc>
          <w:tcPr>
            <w:tcW w:type="dxa" w:w="18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2.125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  <w:tc>
          <w:tcPr>
            <w:tcW w:type="dxa" w:w="223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rFonts w:ascii="Times New Roman" w:hAnsi="Times New Roman" w:eastAsia="SimSun"/>
                <w:color w:val="000000"/>
                <w:sz w:val="19"/>
              </w:rPr>
              <w:t>0</w:t>
            </w:r>
          </w:p>
        </w:tc>
      </w:tr>
    </w:tbl>
    <w:p>
      <w:pPr>
        <w:spacing w:after="40" w:line="72" w:lineRule="auto"/>
      </w:pP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987040"/>
            <wp:docPr id="4" name="Picture 4" descr="包头变化对有效利用率和完成时延的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swee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imSun"/>
          <w:color w:val="000000"/>
          <w:sz w:val="19"/>
        </w:rPr>
        <w:t>图 4  包头变化对有效利用率和完成时延的影响</w:t>
      </w:r>
    </w:p>
    <w:p>
      <w:r>
        <w:rPr>
          <w:rFonts w:ascii="Times New Roman" w:hAnsi="Times New Roman" w:eastAsia="SimSun"/>
          <w:color w:val="000000"/>
        </w:rPr>
        <w:t>连续满载时头部占用更多容量，有效交付下降、队列时延增加。错峰业务由96 bit payload构成，32 bit头恰好使每记录占满一个tick；改64 bit头后每记录需160 bit，超过每tick128 bit供给能力，出现排队、丢失和积压。轻载全部payload仍能完成，0与32 bit的完成边界在本次样本中相同，64 bit需要更多tick，时延升高；不能推断指标会随包头大小在所有场景严格线性变化。</w:t>
      </w:r>
    </w:p>
    <w:p>
      <w:r>
        <w:rPr>
          <w:rFonts w:ascii="Times New Roman" w:hAnsi="Times New Roman" w:eastAsia="SimSun"/>
          <w:color w:val="000000"/>
        </w:rPr>
        <w:t>header32的所有rows和traces与默认基线完全一致，附加实验前后5个基线文件SHA256未变。这里只改变一个参数，固定种子的一个有限窗口无法代替多种负载和种子的统计置信分析。</w:t>
      </w:r>
    </w:p>
    <w:p>
      <w:pPr>
        <w:pStyle w:val="Heading1"/>
      </w:pPr>
      <w:r>
        <w:t>验证与可复现方法</w:t>
      </w:r>
    </w:p>
    <w:p>
      <w:r>
        <w:rPr>
          <w:rFonts w:ascii="Times New Roman" w:hAnsi="Times New Roman" w:eastAsia="SimSun"/>
          <w:color w:val="000000"/>
        </w:rPr>
        <w:t xml:space="preserve">实际环境为Windows、Python3.14.5、NumPy2.5.4、Matplotlib3.11.2、pytest9.1.1，均满足教师依赖范围。实际版本冻结在 </w:t>
      </w:r>
      <w:hyperlink r:id="rId21">
        <w:r>
          <w:rPr>
            <w:color w:val="215A85"/>
          </w:rPr>
          <w:t>requirements-lock.txt</w:t>
        </w:r>
      </w:hyperlink>
      <w:r>
        <w:rPr>
          <w:rFonts w:ascii="Times New Roman" w:hAnsi="Times New Roman" w:eastAsia="SimSun"/>
          <w:color w:val="000000"/>
        </w:rPr>
        <w:t>。项目环境位于</w:t>
      </w:r>
      <w:r>
        <w:rPr>
          <w:rFonts w:ascii="Consolas" w:hAnsi="Consolas" w:eastAsia="SimSun"/>
          <w:color w:val="000000"/>
          <w:sz w:val="19"/>
        </w:rPr>
        <w:t>.venv/</w:t>
      </w:r>
      <w:r>
        <w:rPr>
          <w:rFonts w:ascii="Times New Roman" w:hAnsi="Times New Roman" w:eastAsia="SimSun"/>
          <w:color w:val="000000"/>
        </w:rPr>
        <w:t>，缓存位于</w:t>
      </w:r>
      <w:r>
        <w:rPr>
          <w:rFonts w:ascii="Consolas" w:hAnsi="Consolas" w:eastAsia="SimSun"/>
          <w:color w:val="000000"/>
          <w:sz w:val="19"/>
        </w:rPr>
        <w:t>.build/</w:t>
      </w:r>
      <w:r>
        <w:rPr>
          <w:rFonts w:ascii="Times New Roman" w:hAnsi="Times New Roman" w:eastAsia="SimSun"/>
          <w:color w:val="000000"/>
        </w:rPr>
        <w:t>，不升级共用工具环境。</w:t>
      </w:r>
    </w:p>
    <w:p>
      <w:r>
        <w:rPr>
          <w:rFonts w:ascii="Times New Roman" w:hAnsi="Times New Roman" w:eastAsia="SimSun"/>
          <w:color w:val="000000"/>
        </w:rPr>
        <w:t>在项目根目录运行：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$env:PYTHONUTF8='1'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$env:PYTHONIOENCODING='utf-8'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$env:MPLCONFIGDIR=(Join-Path (Get-Location) '.build/matplotlib')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src/test_environment.py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-m pytest grading/test_framework.py -q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-m pytest grading/test_circuit.py -q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-m pytest grading/test_packet.py -q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-m pytest grading/test_metrics.py -q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src/performance_test.py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-m pytest grading/test_integration.py -q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-c "from src.performance_test import run; run('.build/repro')"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scripts/verify_baseline.py --repeat .build/repro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-m pytest student_tests -q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scripts/header_experiment.py</w:t>
      </w:r>
    </w:p>
    <w:p>
      <w:pPr>
        <w:spacing w:after="20" w:line="259" w:lineRule="auto"/>
      </w:pPr>
      <w:r>
        <w:rPr>
          <w:rFonts w:ascii="Consolas" w:hAnsi="Consolas" w:eastAsia="SimSun"/>
          <w:color w:val="000000"/>
          <w:sz w:val="17"/>
        </w:rPr>
        <w:t>&amp; .\.venv\Scripts\python.exe grading/calculate_grade.py</w:t>
      </w:r>
    </w:p>
    <w:p>
      <w:r>
        <w:rPr>
          <w:rFonts w:ascii="Times New Roman" w:hAnsi="Times New Roman" w:eastAsia="SimSun"/>
          <w:color w:val="000000"/>
        </w:rPr>
        <w:t>阶段性真实结果：框架4通过、电路4通过、分组4通过、指标3通过、集成3通过、自拟1通过。基线重复执行的JSON、CSV与3张PNG逐字节一致；PNG已解码并逐一打开检查，JSON/CSV数值、轨迹预算与守恒全部一致。原始输出与SHA256记录在</w:t>
      </w:r>
      <w:r>
        <w:rPr>
          <w:rFonts w:ascii="Consolas" w:hAnsi="Consolas" w:eastAsia="SimSun"/>
          <w:color w:val="000000"/>
          <w:sz w:val="19"/>
        </w:rPr>
        <w:t>results/logs/</w:t>
      </w:r>
      <w:r>
        <w:rPr>
          <w:rFonts w:ascii="Times New Roman" w:hAnsi="Times New Roman" w:eastAsia="SimSun"/>
          <w:color w:val="000000"/>
        </w:rPr>
        <w:t>。</w:t>
      </w:r>
    </w:p>
    <w:p>
      <w:r>
        <w:rPr>
          <w:rFonts w:ascii="Times New Roman" w:hAnsi="Times New Roman" w:eastAsia="SimSun"/>
          <w:color w:val="000000"/>
        </w:rPr>
        <w:t>最终提交前完整回归</w:t>
      </w:r>
      <w:r>
        <w:rPr>
          <w:rFonts w:ascii="Consolas" w:hAnsi="Consolas" w:eastAsia="SimSun"/>
          <w:color w:val="000000"/>
          <w:sz w:val="19"/>
        </w:rPr>
        <w:t>-m pytest grading student_tests -q</w:t>
      </w:r>
      <w:r>
        <w:rPr>
          <w:rFonts w:ascii="Times New Roman" w:hAnsi="Times New Roman" w:eastAsia="SimSun"/>
          <w:color w:val="000000"/>
        </w:rPr>
        <w:t>为</w:t>
      </w:r>
      <w:r>
        <w:rPr>
          <w:rFonts w:ascii="Times New Roman" w:hAnsi="Times New Roman" w:eastAsia="SimSun"/>
          <w:b/>
          <w:color w:val="000000"/>
        </w:rPr>
        <w:t>24 passed in 0.37s</w:t>
      </w:r>
      <w:r>
        <w:rPr>
          <w:rFonts w:ascii="Times New Roman" w:hAnsi="Times New Roman" w:eastAsia="SimSun"/>
          <w:color w:val="000000"/>
        </w:rPr>
        <w:t>（另含教师作业跟踪测试）。项目</w:t>
      </w:r>
      <w:r>
        <w:rPr>
          <w:rFonts w:ascii="Consolas" w:hAnsi="Consolas" w:eastAsia="SimSun"/>
          <w:color w:val="000000"/>
          <w:sz w:val="19"/>
        </w:rPr>
        <w:t>preflight.py</w:t>
      </w:r>
      <w:r>
        <w:rPr>
          <w:rFonts w:ascii="Times New Roman" w:hAnsi="Times New Roman" w:eastAsia="SimSun"/>
          <w:color w:val="000000"/>
        </w:rPr>
        <w:t>已实际通过，核对受保护文件、原接口、全部报告指标与基线哈希。检查清单见</w:t>
      </w:r>
      <w:hyperlink r:id="rId22">
        <w:r>
          <w:rPr>
            <w:color w:val="215A85"/>
          </w:rPr>
          <w:t>提交前清单</w:t>
        </w:r>
      </w:hyperlink>
      <w:r>
        <w:rPr>
          <w:rFonts w:ascii="Times New Roman" w:hAnsi="Times New Roman" w:eastAsia="SimSun"/>
          <w:color w:val="000000"/>
        </w:rPr>
        <w:t>。</w:t>
      </w:r>
    </w:p>
    <w:p>
      <w:r>
        <w:rPr>
          <w:rFonts w:ascii="Times New Roman" w:hAnsi="Times New Roman" w:eastAsia="SimSun"/>
          <w:color w:val="000000"/>
        </w:rPr>
        <w:t>实际运行教师本地评分脚本，退出码0，</w:t>
      </w:r>
      <w:r>
        <w:rPr>
          <w:rFonts w:ascii="Consolas" w:hAnsi="Consolas" w:eastAsia="SimSun"/>
          <w:color w:val="000000"/>
          <w:sz w:val="19"/>
        </w:rPr>
        <w:t>grade_report.json</w:t>
      </w:r>
      <w:r>
        <w:rPr>
          <w:rFonts w:ascii="Times New Roman" w:hAnsi="Times New Roman" w:eastAsia="SimSun"/>
          <w:color w:val="000000"/>
        </w:rPr>
        <w:t>状态为</w:t>
      </w:r>
      <w:r>
        <w:rPr>
          <w:rFonts w:ascii="Consolas" w:hAnsi="Consolas" w:eastAsia="SimSun"/>
          <w:color w:val="000000"/>
          <w:sz w:val="19"/>
        </w:rPr>
        <w:t>ok</w:t>
      </w:r>
      <w:r>
        <w:rPr>
          <w:rFonts w:ascii="Times New Roman" w:hAnsi="Times New Roman" w:eastAsia="SimSun"/>
          <w:color w:val="000000"/>
        </w:rPr>
        <w:t>：环境5/5、电路20/20、分组20/20、指标15/15、产物10/10，自动项合计</w:t>
      </w:r>
      <w:r>
        <w:rPr>
          <w:rFonts w:ascii="Times New Roman" w:hAnsi="Times New Roman" w:eastAsia="SimSun"/>
          <w:b/>
          <w:color w:val="000000"/>
        </w:rPr>
        <w:t>70/70</w:t>
      </w:r>
      <w:r>
        <w:rPr>
          <w:rFonts w:ascii="Times New Roman" w:hAnsi="Times New Roman" w:eastAsia="SimSun"/>
          <w:color w:val="000000"/>
        </w:rPr>
        <w:t>。脚本文本显示“70.0/100”，其中教师人工30分待评，非最终成绩。原始结果为根目录</w:t>
      </w:r>
      <w:r>
        <w:rPr>
          <w:rFonts w:ascii="Consolas" w:hAnsi="Consolas" w:eastAsia="SimSun"/>
          <w:color w:val="000000"/>
          <w:sz w:val="19"/>
        </w:rPr>
        <w:t>grade_result.txt</w:t>
      </w:r>
      <w:r>
        <w:rPr>
          <w:rFonts w:ascii="Times New Roman" w:hAnsi="Times New Roman" w:eastAsia="SimSun"/>
          <w:color w:val="000000"/>
        </w:rPr>
        <w:t>、</w:t>
      </w:r>
      <w:r>
        <w:rPr>
          <w:rFonts w:ascii="Consolas" w:hAnsi="Consolas" w:eastAsia="SimSun"/>
          <w:color w:val="000000"/>
          <w:sz w:val="19"/>
        </w:rPr>
        <w:t>grade_report.json</w:t>
      </w:r>
      <w:r>
        <w:rPr>
          <w:rFonts w:ascii="Times New Roman" w:hAnsi="Times New Roman" w:eastAsia="SimSun"/>
          <w:color w:val="000000"/>
        </w:rPr>
        <w:t>及</w:t>
      </w:r>
      <w:r>
        <w:rPr>
          <w:rFonts w:ascii="Consolas" w:hAnsi="Consolas" w:eastAsia="SimSun"/>
          <w:color w:val="000000"/>
          <w:sz w:val="19"/>
        </w:rPr>
        <w:t>results/logs/07_grade.txt</w:t>
      </w:r>
      <w:r>
        <w:rPr>
          <w:rFonts w:ascii="Times New Roman" w:hAnsi="Times New Roman" w:eastAsia="SimSun"/>
          <w:color w:val="000000"/>
        </w:rPr>
        <w:t>。</w:t>
      </w:r>
    </w:p>
    <w:p>
      <w:pPr>
        <w:pStyle w:val="Heading1"/>
      </w:pPr>
      <w:r>
        <w:t>分析与限制</w:t>
      </w:r>
    </w:p>
    <w:p>
      <w:r>
        <w:rPr>
          <w:rFonts w:ascii="Times New Roman" w:hAnsi="Times New Roman" w:eastAsia="SimSun"/>
          <w:color w:val="000000"/>
        </w:rPr>
        <w:t>统计复用的收益依赖各用户业务何时到达、是否同时拥塞，以及包头与payload的比例。本次连续满载电路表现更好，错峰热点分组表现更好；不能推出真实互联网或电话系统的总体优劣。</w:t>
      </w:r>
    </w:p>
    <w:p>
      <w:r>
        <w:rPr>
          <w:rFonts w:ascii="Times New Roman" w:hAnsi="Times New Roman" w:eastAsia="SimSun"/>
          <w:color w:val="000000"/>
        </w:rPr>
        <w:t>本模型只含预先建立的单链路承载，忽略建链、传播、误码、重传和多跳；FIFO未模拟优先级和真实设备存储分配。完成时延只统计成功记录，必须同时看交付、丢失和积压，有限窗口不提供无限长稳态性能保证。所有完成都落在tick结束边界，离散化可能隐藏一个tick内的差异。</w:t>
      </w:r>
    </w:p>
    <w:p>
      <w:pPr>
        <w:pStyle w:val="Heading1"/>
      </w:pPr>
      <w:r>
        <w:t>AI使用与核心循环解释</w:t>
      </w:r>
    </w:p>
    <w:p>
      <w:r>
        <w:rPr>
          <w:rFonts w:ascii="Times New Roman" w:hAnsi="Times New Roman" w:eastAsia="SimSun"/>
          <w:color w:val="000000"/>
        </w:rPr>
        <w:t>AI先解释规则、列出手算，再逐个实现三个TODO，每个对应测试通过才继续。发送循环每轮取</w:t>
      </w:r>
      <w:r>
        <w:rPr>
          <w:rFonts w:ascii="Consolas" w:hAnsi="Consolas" w:eastAsia="SimSun"/>
          <w:color w:val="000000"/>
          <w:sz w:val="19"/>
        </w:rPr>
        <w:t>min(剩余预算, 队首剩余wire)</w:t>
      </w:r>
      <w:r>
        <w:rPr>
          <w:rFonts w:ascii="Times New Roman" w:hAnsi="Times New Roman" w:eastAsia="SimSun"/>
          <w:color w:val="000000"/>
        </w:rPr>
        <w:t>，从两者扣去同一发送量；预算为0时停止，队首剩余为0才出队。这样既不会超额发送，也不会把部分记录误报为完成。分组函数不读取包头去加量，因为框架初始化时已计入一次；电路函数只选择当前用户队列，循环内不转去其他用户。</w:t>
      </w:r>
    </w:p>
    <w:p>
      <w:r>
        <w:rPr>
          <w:rFonts w:ascii="Times New Roman" w:hAnsi="Times New Roman" w:eastAsia="SimSun"/>
          <w:color w:val="000000"/>
        </w:rPr>
        <w:t>自拟反例和数据核验用于验证AI建议，真实探测错误、命令与采纳理由见AI_LOG。本人已表示审阅完毕并授权提交；个人独立推导、课堂反思及掌握程度没有由AI代为声明。</w:t>
      </w:r>
    </w:p>
    <w:p>
      <w:pPr>
        <w:pStyle w:val="Heading1"/>
      </w:pPr>
      <w:r>
        <w:t>参考资料</w:t>
      </w:r>
    </w:p>
    <w:p>
      <w:r>
        <w:rPr>
          <w:rFonts w:ascii="Times New Roman" w:hAnsi="Times New Roman" w:eastAsia="SimSun"/>
          <w:color w:val="000000"/>
        </w:rPr>
        <w:t>以下资料均在本次实际阅读，属于仓库教学资料与源码；没有引入未经阅读的论文或外部实验结果。</w:t>
      </w:r>
    </w:p>
    <w:p>
      <w:r>
        <w:rPr>
          <w:rFonts w:ascii="Times New Roman" w:hAnsi="Times New Roman" w:eastAsia="SimSun"/>
          <w:color w:val="000000"/>
        </w:rPr>
        <w:t xml:space="preserve">1. </w:t>
      </w:r>
      <w:hyperlink r:id="rId23">
        <w:r>
          <w:rPr>
            <w:color w:val="215A85"/>
          </w:rPr>
          <w:t>实验一PRD V1.2</w:t>
        </w:r>
      </w:hyperlink>
      <w:r>
        <w:rPr>
          <w:rFonts w:ascii="Times New Roman" w:hAnsi="Times New Roman" w:eastAsia="SimSun"/>
          <w:color w:val="000000"/>
        </w:rPr>
        <w:t>，2026-10-18，模型、验收、评分及操作要求。</w:t>
      </w:r>
    </w:p>
    <w:p>
      <w:r>
        <w:rPr>
          <w:rFonts w:ascii="Times New Roman" w:hAnsi="Times New Roman" w:eastAsia="SimSun"/>
          <w:color w:val="000000"/>
        </w:rPr>
        <w:t xml:space="preserve">2. </w:t>
      </w:r>
      <w:hyperlink r:id="rId24">
        <w:r>
          <w:rPr>
            <w:color w:val="215A85"/>
          </w:rPr>
          <w:t>README</w:t>
        </w:r>
      </w:hyperlink>
      <w:r>
        <w:rPr>
          <w:rFonts w:ascii="Times New Roman" w:hAnsi="Times New Roman" w:eastAsia="SimSun"/>
          <w:color w:val="000000"/>
        </w:rPr>
        <w:t>、</w:t>
      </w:r>
      <w:hyperlink r:id="rId25">
        <w:r>
          <w:rPr>
            <w:color w:val="215A85"/>
          </w:rPr>
          <w:t>模型合同</w:t>
        </w:r>
      </w:hyperlink>
      <w:r>
        <w:rPr>
          <w:rFonts w:ascii="Times New Roman" w:hAnsi="Times New Roman" w:eastAsia="SimSun"/>
          <w:color w:val="000000"/>
        </w:rPr>
        <w:t>、</w:t>
      </w:r>
      <w:hyperlink r:id="rId26">
        <w:r>
          <w:rPr>
            <w:color w:val="215A85"/>
          </w:rPr>
          <w:t>电路原理</w:t>
        </w:r>
      </w:hyperlink>
      <w:r>
        <w:rPr>
          <w:rFonts w:ascii="Times New Roman" w:hAnsi="Times New Roman" w:eastAsia="SimSun"/>
          <w:color w:val="000000"/>
        </w:rPr>
        <w:t>、</w:t>
      </w:r>
      <w:hyperlink r:id="rId27">
        <w:r>
          <w:rPr>
            <w:color w:val="215A85"/>
          </w:rPr>
          <w:t>分组原理</w:t>
        </w:r>
      </w:hyperlink>
      <w:r>
        <w:rPr>
          <w:rFonts w:ascii="Times New Roman" w:hAnsi="Times New Roman" w:eastAsia="SimSun"/>
          <w:color w:val="000000"/>
        </w:rPr>
        <w:t>，本地起始版本bc9099e。</w:t>
      </w:r>
    </w:p>
    <w:p>
      <w:r>
        <w:rPr>
          <w:rFonts w:ascii="Times New Roman" w:hAnsi="Times New Roman" w:eastAsia="SimSun"/>
          <w:color w:val="000000"/>
        </w:rPr>
        <w:t xml:space="preserve">3. </w:t>
      </w:r>
      <w:hyperlink r:id="rId28">
        <w:r>
          <w:rPr>
            <w:color w:val="215A85"/>
          </w:rPr>
          <w:t>数据类型</w:t>
        </w:r>
      </w:hyperlink>
      <w:r>
        <w:rPr>
          <w:rFonts w:ascii="Times New Roman" w:hAnsi="Times New Roman" w:eastAsia="SimSun"/>
          <w:color w:val="000000"/>
        </w:rPr>
        <w:t>、</w:t>
      </w:r>
      <w:hyperlink r:id="rId29">
        <w:r>
          <w:rPr>
            <w:color w:val="215A85"/>
          </w:rPr>
          <w:t>业务和仿真框架</w:t>
        </w:r>
      </w:hyperlink>
      <w:r>
        <w:rPr>
          <w:rFonts w:ascii="Times New Roman" w:hAnsi="Times New Roman" w:eastAsia="SimSun"/>
          <w:color w:val="000000"/>
        </w:rPr>
        <w:t>、</w:t>
      </w:r>
      <w:hyperlink r:id="rId30">
        <w:r>
          <w:rPr>
            <w:color w:val="215A85"/>
          </w:rPr>
          <w:t>运行入口</w:t>
        </w:r>
      </w:hyperlink>
      <w:r>
        <w:rPr>
          <w:rFonts w:ascii="Times New Roman" w:hAnsi="Times New Roman" w:eastAsia="SimSun"/>
          <w:color w:val="000000"/>
        </w:rPr>
        <w:t>、</w:t>
      </w:r>
      <w:hyperlink r:id="rId31">
        <w:r>
          <w:rPr>
            <w:color w:val="215A85"/>
          </w:rPr>
          <w:t>绘图程序</w:t>
        </w:r>
      </w:hyperlink>
      <w:r>
        <w:rPr>
          <w:rFonts w:ascii="Times New Roman" w:hAnsi="Times New Roman" w:eastAsia="SimSun"/>
          <w:color w:val="000000"/>
        </w:rPr>
        <w:t>及公开grading测试与评分源码，本地起始版本bc9099e。</w:t>
      </w:r>
    </w:p>
    <w:sectPr w:rsidR="00FC693F" w:rsidRPr="0006063C" w:rsidSect="00034616">
      <w:footerReference w:type="default" r:id="rId32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000000"/>
        <w:sz w:val="18"/>
      </w:rPr>
      <w:t xml:space="preserve">第 </w:t>
    </w:r>
    <w:fldSimple w:instr="PAGE"/>
    <w:r>
      <w:rPr>
        <w:rFonts w:ascii="Times New Roman" w:hAnsi="Times New Roman" w:eastAsia="SimSun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Times New Roman" w:hAnsi="Times New Roma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 w:eastAsia="SimSu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SimSu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imSu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rjimeidianle/modern-switching-experiment-01/blob/main/AI_LOG.md" TargetMode="External"/><Relationship Id="rId10" Type="http://schemas.openxmlformats.org/officeDocument/2006/relationships/hyperlink" Target="https://github.com/erjimeidianle/modern-switching-experiment-01/blob/main/docs/execution_log.md" TargetMode="External"/><Relationship Id="rId11" Type="http://schemas.openxmlformats.org/officeDocument/2006/relationships/hyperlink" Target="https://github.com/erjimeidianle/modern-switching-experiment-01/blob/main/results/comparison.json" TargetMode="External"/><Relationship Id="rId12" Type="http://schemas.openxmlformats.org/officeDocument/2006/relationships/hyperlink" Target="https://github.com/erjimeidianle/modern-switching-experiment-01/blob/main/results/comparison.csv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github.com/erjimeidianle/modern-switching-experiment-01/blob/main/student_tests/test_my_case.py" TargetMode="External"/><Relationship Id="rId17" Type="http://schemas.openxmlformats.org/officeDocument/2006/relationships/hyperlink" Target="https://github.com/erjimeidianle/modern-switching-experiment-01/blob/main/scripts/header_experiment.py" TargetMode="External"/><Relationship Id="rId18" Type="http://schemas.openxmlformats.org/officeDocument/2006/relationships/hyperlink" Target="https://github.com/erjimeidianle/modern-switching-experiment-01/blob/main/results/extra/header_sweep.json" TargetMode="External"/><Relationship Id="rId19" Type="http://schemas.openxmlformats.org/officeDocument/2006/relationships/hyperlink" Target="https://github.com/erjimeidianle/modern-switching-experiment-01/blob/main/results/extra/header_sweep.csv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github.com/erjimeidianle/modern-switching-experiment-01/blob/main/requirements-lock.txt" TargetMode="External"/><Relationship Id="rId22" Type="http://schemas.openxmlformats.org/officeDocument/2006/relationships/hyperlink" Target="https://github.com/erjimeidianle/modern-switching-experiment-01/blob/main/docs/submission_checklist.md" TargetMode="External"/><Relationship Id="rId23" Type="http://schemas.openxmlformats.org/officeDocument/2006/relationships/hyperlink" Target="https://github.com/erjimeidianle/modern-switching-experiment-01/blob/main/codex_tasks/%E5%AE%9E%E9%AA%8C%E4%B8%80_PRD_%E7%94%B5%E8%B7%AF%E4%BA%A4%E6%8D%A2%E4%B8%8E%E5%88%86%E7%BB%84%E4%BA%A4%E6%8D%A2.md" TargetMode="External"/><Relationship Id="rId24" Type="http://schemas.openxmlformats.org/officeDocument/2006/relationships/hyperlink" Target="https://github.com/erjimeidianle/modern-switching-experiment-01/blob/main/README.md" TargetMode="External"/><Relationship Id="rId25" Type="http://schemas.openxmlformats.org/officeDocument/2006/relationships/hyperlink" Target="https://github.com/erjimeidianle/modern-switching-experiment-01/blob/main/docs/model_contract.md" TargetMode="External"/><Relationship Id="rId26" Type="http://schemas.openxmlformats.org/officeDocument/2006/relationships/hyperlink" Target="https://github.com/erjimeidianle/modern-switching-experiment-01/blob/main/docs/theory_circuit.md" TargetMode="External"/><Relationship Id="rId27" Type="http://schemas.openxmlformats.org/officeDocument/2006/relationships/hyperlink" Target="https://github.com/erjimeidianle/modern-switching-experiment-01/blob/main/docs/theory_packet.md" TargetMode="External"/><Relationship Id="rId28" Type="http://schemas.openxmlformats.org/officeDocument/2006/relationships/hyperlink" Target="https://github.com/erjimeidianle/modern-switching-experiment-01/blob/main/src/models.py" TargetMode="External"/><Relationship Id="rId29" Type="http://schemas.openxmlformats.org/officeDocument/2006/relationships/hyperlink" Target="https://github.com/erjimeidianle/modern-switching-experiment-01/blob/main/src/utils.py" TargetMode="External"/><Relationship Id="rId30" Type="http://schemas.openxmlformats.org/officeDocument/2006/relationships/hyperlink" Target="https://github.com/erjimeidianle/modern-switching-experiment-01/blob/main/src/performance_test.py" TargetMode="External"/><Relationship Id="rId31" Type="http://schemas.openxmlformats.org/officeDocument/2006/relationships/hyperlink" Target="https://github.com/erjimeidianle/modern-switching-experiment-01/blob/main/src/visualization.py" TargetMode="External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电路交换与分组交换资源利用率比较</dc:title>
  <dc:subject>现代交换原理实验一</dc:subject>
  <dc:creator>郑航宇</dc:creator>
  <cp:keywords>电路交换 分组交换 FIFO 有效利用率 完成时延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