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20"/>
      </w:pPr>
      <w:r>
        <w:t xml:space="preserve"/>
      </w:r>
    </w:p>
    <w:p>
      <w:pPr>
        <w:jc w:val="center"/>
      </w:pPr>
      <w:r>
        <w:rPr>
          <w:rFonts w:ascii="Arial" w:cs="Arial" w:eastAsia="Arial" w:hAnsi="Arial"/>
          <w:b/>
          <w:bCs/>
          <w:color w:val="1B3A6B"/>
          <w:sz w:val="72"/>
          <w:szCs w:val="72"/>
        </w:rPr>
        <w:t xml:space="preserve">SORVEX 360</w:t>
      </w:r>
    </w:p>
    <w:p>
      <w:pPr>
        <w:jc w:val="center"/>
      </w:pPr>
      <w:r>
        <w:rPr>
          <w:rFonts w:ascii="Arial" w:cs="Arial" w:eastAsia="Arial" w:hAnsi="Arial"/>
          <w:b/>
          <w:bCs/>
          <w:color w:val="2E75B6"/>
          <w:sz w:val="40"/>
          <w:szCs w:val="40"/>
        </w:rPr>
        <w:t xml:space="preserve">Synthetic Pipeline Blueprint</w:t>
      </w:r>
    </w:p>
    <w:p>
      <w:pPr>
        <w:spacing w:after="0" w:before="80"/>
      </w:pPr>
      <w:r>
        <w:t xml:space="preserve"/>
      </w:r>
    </w:p>
    <w:p>
      <w:pPr>
        <w:pBdr>
          <w:bottom w:val="single" w:color="2E75B6" w:sz="8" w:space="1"/>
        </w:pBdr>
        <w:jc w:val="center"/>
      </w:pPr>
      <w:r>
        <w:rPr>
          <w:sz w:val="20"/>
          <w:szCs w:val="20"/>
        </w:rPr>
        <w:t xml:space="preserve"/>
      </w:r>
    </w:p>
    <w:p>
      <w:pPr>
        <w:spacing w:after="0" w:before="80"/>
      </w:pPr>
      <w:r>
        <w:t xml:space="preserve"/>
      </w:r>
    </w:p>
    <w:p>
      <w:pPr>
        <w:jc w:val="center"/>
      </w:pPr>
      <w:r>
        <w:rPr>
          <w:rFonts w:ascii="Arial" w:cs="Arial" w:eastAsia="Arial" w:hAnsi="Arial"/>
          <w:color w:val="595959"/>
          <w:sz w:val="28"/>
          <w:szCs w:val="28"/>
        </w:rPr>
        <w:t xml:space="preserve">Predict • Prepare • Place • Post-Hire Outcomes</w:t>
      </w:r>
    </w:p>
    <w:p>
      <w:pPr>
        <w:spacing w:after="0" w:before="80"/>
      </w:pPr>
      <w:r>
        <w:t xml:space="preserve"/>
      </w:r>
    </w:p>
    <w:p>
      <w:pPr>
        <w:jc w:val="center"/>
      </w:pPr>
      <w:r>
        <w:rPr>
          <w:rFonts w:ascii="Arial" w:cs="Arial" w:eastAsia="Arial" w:hAnsi="Arial"/>
          <w:i/>
          <w:iCs/>
          <w:color w:val="595959"/>
          <w:sz w:val="22"/>
          <w:szCs w:val="22"/>
        </w:rPr>
        <w:t xml:space="preserve">Field-by-Field Data Source, Method &amp; Parameter Reference</w:t>
      </w:r>
    </w:p>
    <w:p>
      <w:pPr>
        <w:spacing w:after="0" w:before="160"/>
      </w:pPr>
      <w:r>
        <w:t xml:space="preserve"/>
      </w:r>
    </w:p>
    <w:p>
      <w:pPr>
        <w:jc w:val="center"/>
      </w:pPr>
      <w:r>
        <w:rPr>
          <w:rFonts w:ascii="Arial" w:cs="Arial" w:eastAsia="Arial" w:hAnsi="Arial"/>
          <w:color w:val="595959"/>
          <w:sz w:val="20"/>
          <w:szCs w:val="20"/>
        </w:rPr>
        <w:t xml:space="preserve">Version 1.0  |  April 2026</w:t>
      </w:r>
    </w:p>
    <w:p>
      <w:r>
        <w:br w:type="page"/>
      </w:r>
    </w:p>
    <w:p>
      <w:pPr>
        <w:pStyle w:val="Heading1"/>
        <w:pBdr>
          <w:bottom w:val="single" w:color="2E75B6" w:sz="6" w:space="1"/>
        </w:pBdr>
        <w:spacing w:after="120" w:before="360"/>
      </w:pPr>
      <w:r>
        <w:rPr>
          <w:rFonts w:ascii="Arial" w:cs="Arial" w:eastAsia="Arial" w:hAnsi="Arial"/>
          <w:b/>
          <w:bCs/>
          <w:color w:val="1B3A6B"/>
          <w:sz w:val="32"/>
          <w:szCs w:val="32"/>
        </w:rPr>
        <w:t xml:space="preserve">1. Overview &amp; Architecture</w:t>
      </w:r>
    </w:p>
    <w:p>
      <w:pPr>
        <w:spacing w:after="60" w:before="60"/>
      </w:pPr>
      <w:r>
        <w:rPr>
          <w:rFonts w:ascii="Arial" w:cs="Arial" w:eastAsia="Arial" w:hAnsi="Arial"/>
          <w:sz w:val="20"/>
          <w:szCs w:val="20"/>
        </w:rPr>
        <w:t xml:space="preserve">This blueprint defines every field in the Sorvex 360 four-phase synthetic candidate dataset. For each field it specifies the data source, the derivation or generation method, the exact statistical parameters, and the role the field plays in CTGAN training and conditioning. It serves as the single reference document for building, validating, and auditing the 5,000-record synthetic pipeline.</w:t>
      </w:r>
    </w:p>
    <w:p>
      <w:pPr>
        <w:spacing w:after="0" w:before="80"/>
      </w:pPr>
      <w:r>
        <w:t xml:space="preserve"/>
      </w:r>
    </w:p>
    <w:p>
      <w:pPr>
        <w:pStyle w:val="Heading2"/>
        <w:spacing w:after="80" w:before="280"/>
      </w:pPr>
      <w:r>
        <w:rPr>
          <w:rFonts w:ascii="Arial" w:cs="Arial" w:eastAsia="Arial" w:hAnsi="Arial"/>
          <w:b/>
          <w:bCs/>
          <w:color w:val="2E75B6"/>
          <w:sz w:val="26"/>
          <w:szCs w:val="26"/>
        </w:rPr>
        <w:t xml:space="preserve">1.1 Pipeline Architecture</w:t>
      </w:r>
    </w:p>
    <w:p>
      <w:pPr>
        <w:spacing w:after="60" w:before="60"/>
      </w:pPr>
      <w:r>
        <w:rPr>
          <w:rFonts w:ascii="Arial" w:cs="Arial" w:eastAsia="Arial" w:hAnsi="Arial"/>
          <w:sz w:val="20"/>
          <w:szCs w:val="20"/>
        </w:rPr>
        <w:t xml:space="preserve">The pipeline follows a four-phase cascade where each phase builds on the previous. All phases are joined by CandidateID (1-to-many), with PlacementID joining Phase 3 to Phase 4.</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360"/>
        <w:gridCol w:w="3000"/>
      </w:tblGrid>
      <w:tr>
        <w:trPr>
          <w:tblHeader/>
        </w:trPr>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Phase</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Name</w:t>
            </w:r>
          </w:p>
        </w:tc>
        <w:tc>
          <w:tcPr>
            <w:tcW w:type="dxa" w:w="3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Purpose</w:t>
            </w:r>
          </w:p>
        </w:tc>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Output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PREDICT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Candidate baseline — who they are before any training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Sorvex360PI_Score (0-100)</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2</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PREPARE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Training &amp; readiness — what happens during preparation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ReadinessDelta (pre vs post PI)</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PLACE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Compliance &amp; placement — employer-side hire verification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Sorvex360PI_ScoreAtHire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4</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POST-HIRE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Ground truth outcomes — real-world performance &amp; retention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RetentionScore, SafetyScore</w:t>
            </w:r>
          </w:p>
        </w:tc>
      </w:tr>
    </w:tbl>
    <w:p>
      <w:pPr>
        <w:spacing w:after="0" w:before="80"/>
      </w:pPr>
      <w:r>
        <w:t xml:space="preserve"/>
      </w:r>
    </w:p>
    <w:p>
      <w:pPr>
        <w:pStyle w:val="Heading2"/>
        <w:spacing w:after="80" w:before="280"/>
      </w:pPr>
      <w:r>
        <w:rPr>
          <w:rFonts w:ascii="Arial" w:cs="Arial" w:eastAsia="Arial" w:hAnsi="Arial"/>
          <w:b/>
          <w:bCs/>
          <w:color w:val="2E75B6"/>
          <w:sz w:val="26"/>
          <w:szCs w:val="26"/>
        </w:rPr>
        <w:t xml:space="preserve">1.2 Target Record Count</w:t>
      </w:r>
    </w:p>
    <w:p>
      <w:pPr>
        <w:spacing w:after="60" w:before="60"/>
      </w:pPr>
      <w:r>
        <w:rPr>
          <w:rFonts w:ascii="Arial" w:cs="Arial" w:eastAsia="Arial" w:hAnsi="Arial"/>
          <w:sz w:val="20"/>
          <w:szCs w:val="20"/>
        </w:rPr>
        <w:t xml:space="preserve">5,000 total synthetic candidate records. Each record spans all four phases via CandidateID join. Distribution across 6 utility SOC codes:</w:t>
      </w:r>
    </w:p>
    <w:p>
      <w:pPr>
        <w:pStyle w:val="ListParagraph"/>
        <w:numPr>
          <w:ilvl w:val="0"/>
          <w:numId w:val="2"/>
        </w:numPr>
        <w:spacing w:after="40" w:before="40"/>
      </w:pPr>
      <w:r>
        <w:rPr>
          <w:rFonts w:ascii="Arial" w:cs="Arial" w:eastAsia="Arial" w:hAnsi="Arial"/>
          <w:sz w:val="20"/>
          <w:szCs w:val="20"/>
        </w:rPr>
        <w:t xml:space="preserve">49-2022.00 Telecom Equipment Installers/Repairers — ~1,400 records (28%)</w:t>
      </w:r>
    </w:p>
    <w:p>
      <w:pPr>
        <w:pStyle w:val="ListParagraph"/>
        <w:numPr>
          <w:ilvl w:val="0"/>
          <w:numId w:val="2"/>
        </w:numPr>
        <w:spacing w:after="40" w:before="40"/>
      </w:pPr>
      <w:r>
        <w:rPr>
          <w:rFonts w:ascii="Arial" w:cs="Arial" w:eastAsia="Arial" w:hAnsi="Arial"/>
          <w:sz w:val="20"/>
          <w:szCs w:val="20"/>
        </w:rPr>
        <w:t xml:space="preserve">49-9051.00 Power Line Installers/Repairers — ~1,000 records (20%)</w:t>
      </w:r>
    </w:p>
    <w:p>
      <w:pPr>
        <w:pStyle w:val="ListParagraph"/>
        <w:numPr>
          <w:ilvl w:val="0"/>
          <w:numId w:val="2"/>
        </w:numPr>
        <w:spacing w:after="40" w:before="40"/>
      </w:pPr>
      <w:r>
        <w:rPr>
          <w:rFonts w:ascii="Arial" w:cs="Arial" w:eastAsia="Arial" w:hAnsi="Arial"/>
          <w:sz w:val="20"/>
          <w:szCs w:val="20"/>
        </w:rPr>
        <w:t xml:space="preserve">51-8013.00 Power Plant Operators — ~800 records (16%)</w:t>
      </w:r>
    </w:p>
    <w:p>
      <w:pPr>
        <w:pStyle w:val="ListParagraph"/>
        <w:numPr>
          <w:ilvl w:val="0"/>
          <w:numId w:val="2"/>
        </w:numPr>
        <w:spacing w:after="40" w:before="40"/>
      </w:pPr>
      <w:r>
        <w:rPr>
          <w:rFonts w:ascii="Arial" w:cs="Arial" w:eastAsia="Arial" w:hAnsi="Arial"/>
          <w:sz w:val="20"/>
          <w:szCs w:val="20"/>
        </w:rPr>
        <w:t xml:space="preserve">51-8031.00 Water/Wastewater Treatment Plant Operators — ~800 records (16%)</w:t>
      </w:r>
    </w:p>
    <w:p>
      <w:pPr>
        <w:pStyle w:val="ListParagraph"/>
        <w:numPr>
          <w:ilvl w:val="0"/>
          <w:numId w:val="2"/>
        </w:numPr>
        <w:spacing w:after="40" w:before="40"/>
      </w:pPr>
      <w:r>
        <w:rPr>
          <w:rFonts w:ascii="Arial" w:cs="Arial" w:eastAsia="Arial" w:hAnsi="Arial"/>
          <w:sz w:val="20"/>
          <w:szCs w:val="20"/>
        </w:rPr>
        <w:t xml:space="preserve">51-8092.00 Gas Plant Operators — ~600 records (12%)</w:t>
      </w:r>
    </w:p>
    <w:p>
      <w:pPr>
        <w:pStyle w:val="ListParagraph"/>
        <w:numPr>
          <w:ilvl w:val="0"/>
          <w:numId w:val="2"/>
        </w:numPr>
        <w:spacing w:after="40" w:before="40"/>
      </w:pPr>
      <w:r>
        <w:rPr>
          <w:rFonts w:ascii="Arial" w:cs="Arial" w:eastAsia="Arial" w:hAnsi="Arial"/>
          <w:sz w:val="20"/>
          <w:szCs w:val="20"/>
        </w:rPr>
        <w:t xml:space="preserve">43-5041.00 Meter Readers, Utilities — ~400 records (8%)</w:t>
      </w:r>
    </w:p>
    <w:p>
      <w:pPr>
        <w:spacing w:after="0" w:before="80"/>
      </w:pPr>
      <w:r>
        <w:t xml:space="preserve"/>
      </w:r>
    </w:p>
    <w:p>
      <w:pPr>
        <w:spacing w:after="60" w:before="60"/>
      </w:pPr>
      <w:r>
        <w:rPr>
          <w:rFonts w:ascii="Arial" w:cs="Arial" w:eastAsia="Arial" w:hAnsi="Arial"/>
          <w:i/>
          <w:iCs/>
          <w:color w:val="595959"/>
          <w:sz w:val="20"/>
          <w:szCs w:val="20"/>
        </w:rPr>
        <w:t xml:space="preserve">Distribution derived from BLS Util Employment by Occupation (2024) and CareerBuilder Strict Utility Demand dataset ONET code frequencies.</w:t>
      </w:r>
    </w:p>
    <w:p>
      <w:pPr>
        <w:spacing w:after="0" w:before="80"/>
      </w:pPr>
      <w:r>
        <w:t xml:space="preserve"/>
      </w:r>
    </w:p>
    <w:p>
      <w:pPr>
        <w:pStyle w:val="Heading2"/>
        <w:spacing w:after="80" w:before="280"/>
      </w:pPr>
      <w:r>
        <w:rPr>
          <w:rFonts w:ascii="Arial" w:cs="Arial" w:eastAsia="Arial" w:hAnsi="Arial"/>
          <w:b/>
          <w:bCs/>
          <w:color w:val="2E75B6"/>
          <w:sz w:val="26"/>
          <w:szCs w:val="26"/>
        </w:rPr>
        <w:t xml:space="preserve">1.3 Key Data Sources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rPr>
          <w:tblHeader/>
        </w:trP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Source</w:t>
            </w:r>
          </w:p>
        </w:tc>
        <w:tc>
          <w:tcPr>
            <w:tcW w:type="dxa" w:w="4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Phases Used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USEER 2025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US Energy &amp; Employment Report — demographic distributions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1</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BLS Tenure Tables 2024</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Median tenure by age, education, occupation, industry</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1, 4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BLS Util Occupation Data</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Employment counts, wages, union rate, injury rate by occ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1, 3, 4</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WA L&amp;I Apprenticeship</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131K apprentice records — training hours, completion rates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Vocational Student Dataset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2,000 student records — attendance, performance, dropout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2</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ONET (6 SOC codes)</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Skills &amp; knowledge importance scores per occupation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1, 2, 3</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CareerBuilder (Strict)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257 utility job postings — employer, role, requirements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1, 3</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OSHA Severe Injury</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3,295 utility incidents — severity, event type, body part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Factory Worker Behavior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687 workers — efficacy, feat, manager score distributions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4</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CPWR Bulletins 2025</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MSD days away (34 days), avg worker age (43.1)</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1, 4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EEI/CEWD/SJT Research</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Assessment validity, pass rates, score-performance correlations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1, 2</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1B3A6B"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PHASE 1 — PREDICT: Candidate Baseline</w:t>
            </w:r>
          </w:p>
        </w:tc>
      </w:tr>
    </w:tbl>
    <w:p>
      <w:pPr>
        <w:spacing w:after="0" w:before="80"/>
      </w:pPr>
      <w:r>
        <w:t xml:space="preserve"/>
      </w:r>
    </w:p>
    <w:p>
      <w:pPr>
        <w:spacing w:after="60" w:before="60"/>
      </w:pPr>
      <w:r>
        <w:rPr>
          <w:rFonts w:ascii="Arial" w:cs="Arial" w:eastAsia="Arial" w:hAnsi="Arial"/>
          <w:sz w:val="20"/>
          <w:szCs w:val="20"/>
        </w:rPr>
        <w:t xml:space="preserve">These fields define who the candidate is before any training or placement. They form the input signal for the Sorvex360PI_Score. All fields are generated first; the PI Score is derived from them.</w:t>
      </w:r>
    </w:p>
    <w:p>
      <w:pPr>
        <w:spacing w:after="0" w:before="80"/>
      </w:pPr>
      <w:r>
        <w:t xml:space="preserve"/>
      </w:r>
    </w:p>
    <w:p>
      <w:pPr>
        <w:pStyle w:val="Heading2"/>
        <w:spacing w:after="80" w:before="280"/>
      </w:pPr>
      <w:r>
        <w:rPr>
          <w:rFonts w:ascii="Arial" w:cs="Arial" w:eastAsia="Arial" w:hAnsi="Arial"/>
          <w:b/>
          <w:bCs/>
          <w:color w:val="2E75B6"/>
          <w:sz w:val="26"/>
          <w:szCs w:val="26"/>
        </w:rPr>
        <w:t xml:space="preserve">1.1 Demographics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1500"/>
        <w:gridCol w:w="1500"/>
        <w:gridCol w:w="2200"/>
        <w:gridCol w:w="1860"/>
      </w:tblGrid>
      <w:tr>
        <w:trPr>
          <w:tblHeader/>
        </w:trPr>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Field</w:t>
            </w:r>
          </w:p>
        </w:tc>
        <w:tc>
          <w:tcPr>
            <w:tcW w:type="dxa" w:w="9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Type</w:t>
            </w:r>
          </w:p>
        </w:tc>
        <w:tc>
          <w:tcPr>
            <w:tcW w:type="dxa" w:w="1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Source</w:t>
            </w:r>
          </w:p>
        </w:tc>
        <w:tc>
          <w:tcPr>
            <w:tcW w:type="dxa" w:w="1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Method</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Parameters</w:t>
            </w:r>
          </w:p>
        </w:tc>
        <w:tc>
          <w:tcPr>
            <w:tcW w:type="dxa" w:w="18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CTGAN Role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Age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Integer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CPWR Feb 2025 + OSHA EDA + BLS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Normal distribution truncated to [18, 60]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Mean=43.1 (TCU industry avg), SD=10.5. APA age adjustment: Age 50+ CognitiveScore -5%. Source: CPWR Feb 2025, OSHA utility EDA mean=42.97</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Conditioning variable — correlates with LongestJobTenure, CognitiveScore, TenureInDays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Gender</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Categorical</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USEER 2025 Electricity WF</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Weighted random draw</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Male=73.1%, Female=25.9%, Other=1.0%. Source: USEER 2025 EPG workforce characteristics</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Stratification variable — use for demographic balance checks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ZipCode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String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CareerBuilder Strict + BLS state data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Weighted state draw then ZIP lookup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State weights: CA=14%, TX=13%, VA=10%, NC=9%, WA=8%, FL=7%, IL=7%, others distributed. Source: CareerBuilder state distribution + USEER state data</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Geographic feature — downstream use for regional labor market modeling</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PrimaryLanguage</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Categorical</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USEER 2025 Hispanic/Latino rate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Bernoulli draw</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English=81.3%, Spanish=16.1%, Other=2.6%. Source: USEER 2025 Not Hispanic=81.3%, Hispanic=18.7%</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Demographic feature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VeteranStatus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Boolean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Industry knowledge + USEER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Bernoulli draw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Rate=12%. Note: CareerBuilder veteran mentions (72%) are EEO boilerplate, not prevalence signal. Use BLS veteran employment rate for utilities as anchor</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Eligibility feature — certain utility programs prioritize veterans</w:t>
            </w:r>
          </w:p>
        </w:tc>
      </w:tr>
    </w:tbl>
    <w:p>
      <w:pPr>
        <w:spacing w:after="0" w:before="80"/>
      </w:pPr>
      <w:r>
        <w:t xml:space="preserve"/>
      </w:r>
    </w:p>
    <w:p>
      <w:pPr>
        <w:pStyle w:val="Heading2"/>
        <w:spacing w:after="80" w:before="280"/>
      </w:pPr>
      <w:r>
        <w:rPr>
          <w:rFonts w:ascii="Arial" w:cs="Arial" w:eastAsia="Arial" w:hAnsi="Arial"/>
          <w:b/>
          <w:bCs/>
          <w:color w:val="2E75B6"/>
          <w:sz w:val="26"/>
          <w:szCs w:val="26"/>
        </w:rPr>
        <w:t xml:space="preserve">1.2 Education &amp; Credentials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1500"/>
        <w:gridCol w:w="1500"/>
        <w:gridCol w:w="2200"/>
        <w:gridCol w:w="1860"/>
      </w:tblGrid>
      <w:tr>
        <w:trPr>
          <w:tblHeader/>
        </w:trPr>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Field</w:t>
            </w:r>
          </w:p>
        </w:tc>
        <w:tc>
          <w:tcPr>
            <w:tcW w:type="dxa" w:w="9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Type</w:t>
            </w:r>
          </w:p>
        </w:tc>
        <w:tc>
          <w:tcPr>
            <w:tcW w:type="dxa" w:w="1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Source</w:t>
            </w:r>
          </w:p>
        </w:tc>
        <w:tc>
          <w:tcPr>
            <w:tcW w:type="dxa" w:w="1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Method</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Parameters</w:t>
            </w:r>
          </w:p>
        </w:tc>
        <w:tc>
          <w:tcPr>
            <w:tcW w:type="dxa" w:w="18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CTGAN Role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EducationLevel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Categorical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BLS Median Tenure by Edu + CareerBuilder + CAST-R research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Weighted draw conditioned on SOC code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HS/GED=32%, Vocational Certificate=18%, Associate Technical=17%, Associate General=6%, Bachelors=8%, Apprenticeship=19%. BLS-informed defaults. CAST-R: Associate degree +25% on CognitiveScore mechanical concepts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Primary conditioning variable for CognitiveScore generation</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CDL_Status</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Boolean</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CareerBuilder Strict ONET-level analysis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Bernoulli draw by SOC code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49-9051 (Line Installer): 25%, 51-8092 (Gas Plant): 40%, 49-2022 (Telecom): 2%, 51-8013/51-8031/43-5041: 0-2%. Source: CareerBuilder job description text mining</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Compliance field — linked to RoleRequires_CDL in Phase 3</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OSHA10_Status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Boolean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CareerBuilder text mining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Bernoulli draw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Rate=15% (from CareerBuilder postings mentioning OSHA). Higher for construction-adjacent SOCs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Baseline compliance indicator</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CPR_Status</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Boolean</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CareerBuilder text mining by SOC</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Bernoulli draw by SOC</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Water/wastewater (51-8031): 18%, others: 5-8%. Source: 13 CPR mentions in 257 CareerBuilder postings, concentrated in water roles</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Compliance field — linked to RoleRequires_CPR in Phase 3</w:t>
            </w:r>
          </w:p>
        </w:tc>
      </w:tr>
    </w:tbl>
    <w:p>
      <w:pPr>
        <w:spacing w:after="0" w:before="80"/>
      </w:pPr>
      <w:r>
        <w:t xml:space="preserve"/>
      </w:r>
    </w:p>
    <w:p>
      <w:pPr>
        <w:pStyle w:val="Heading2"/>
        <w:spacing w:after="80" w:before="280"/>
      </w:pPr>
      <w:r>
        <w:rPr>
          <w:rFonts w:ascii="Arial" w:cs="Arial" w:eastAsia="Arial" w:hAnsi="Arial"/>
          <w:b/>
          <w:bCs/>
          <w:color w:val="2E75B6"/>
          <w:sz w:val="26"/>
          <w:szCs w:val="26"/>
        </w:rPr>
        <w:t xml:space="preserve">1.3 Assessment Scores</w:t>
      </w:r>
    </w:p>
    <w:p>
      <w:pPr>
        <w:spacing w:after="60" w:before="60"/>
      </w:pPr>
      <w:r>
        <w:rPr>
          <w:rFonts w:ascii="Arial" w:cs="Arial" w:eastAsia="Arial" w:hAnsi="Arial"/>
          <w:sz w:val="20"/>
          <w:szCs w:val="20"/>
        </w:rPr>
        <w:t xml:space="preserve">Score ranges are 50-100 for all four assessments per master data map. Parameters are derived from ONET importance scores, EEI/CEWD research, and SJT validity literature. Each SOC has its own distribution.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300"/>
        <w:gridCol w:w="1300"/>
        <w:gridCol w:w="1300"/>
        <w:gridCol w:w="1300"/>
        <w:gridCol w:w="1300"/>
        <w:gridCol w:w="1300"/>
      </w:tblGrid>
      <w:tr>
        <w:trPr>
          <w:tblHeader/>
        </w:trPr>
        <w:tc>
          <w:tcPr>
            <w:tcW w:type="dxa" w:w="1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SOC / Role</w:t>
            </w:r>
          </w:p>
        </w:tc>
        <w:tc>
          <w:tcPr>
            <w:tcW w:type="dxa" w:w="13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CognitiveScore</w:t>
            </w:r>
          </w:p>
        </w:tc>
        <w:tc>
          <w:tcPr>
            <w:tcW w:type="dxa" w:w="13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SimulationScore</w:t>
            </w:r>
          </w:p>
        </w:tc>
        <w:tc>
          <w:tcPr>
            <w:tcW w:type="dxa" w:w="13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BehavioralScore</w:t>
            </w:r>
          </w:p>
        </w:tc>
        <w:tc>
          <w:tcPr>
            <w:tcW w:type="dxa" w:w="13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SituationalScore</w:t>
            </w:r>
          </w:p>
        </w:tc>
        <w:tc>
          <w:tcPr>
            <w:tcW w:type="dxa" w:w="13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Notes</w:t>
            </w:r>
          </w:p>
        </w:tc>
        <w:tc>
          <w:tcPr>
            <w:tcW w:type="dxa" w:w="13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43-5041 Meter Reader</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Mean=63, SD=8</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Mean=58, SD=9</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Mean=70, SD=8</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Mean=65, SD=8</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Softest profile. Customer Service knowledge top at 68</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49-2022 Telecom</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Mean=68, SD=9</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Mean=72, SD=9</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Mean=67, SD=9</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Mean=70, SD=8</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Repairing/Troubleshooting top at 72. Most customer-facing</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49-9051 Line Installer</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Mean=67, SD=9</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Mean=71, SD=9</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Mean=68, SD=9</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Mean=67, SD=9</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Most physical. Building &amp; Construction knowledge 65</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51-8013 Power Plant Op</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Mean=75, SD=8</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Mean=76, SD=8</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Mean=72, SD=8</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Mean=73, SD=8</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Highest ceiling. Mechanical knowledge 75, Ops Monitoring 75</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51-8031 Water Treatment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Mean=72, SD=8</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Mean=74, SD=8</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Mean=71, SD=8</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Mean=72, SD=8</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Public Safety knowledge 79. Chemistry + Biology both high</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51-8092 Gas Plant Op</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Mean=73, SD=8</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Mean=75, SD=8</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Mean=73, SD=8</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Mean=72, SD=8</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Most safety-critical. Ops Monitoring top at 78</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
            </w:r>
          </w:p>
        </w:tc>
      </w:tr>
    </w:tbl>
    <w:p>
      <w:pPr>
        <w:spacing w:after="0" w:before="80"/>
      </w:pPr>
      <w:r>
        <w:t xml:space="preserve"/>
      </w:r>
    </w:p>
    <w:p>
      <w:pPr>
        <w:spacing w:after="60" w:before="60"/>
      </w:pPr>
      <w:r>
        <w:rPr>
          <w:rFonts w:ascii="Arial" w:cs="Arial" w:eastAsia="Arial" w:hAnsi="Arial"/>
          <w:b/>
          <w:bCs/>
          <w:sz w:val="20"/>
          <w:szCs w:val="20"/>
        </w:rPr>
        <w:t xml:space="preserve">Score modifiers:</w:t>
      </w:r>
    </w:p>
    <w:p>
      <w:pPr>
        <w:pStyle w:val="ListParagraph"/>
        <w:numPr>
          <w:ilvl w:val="0"/>
          <w:numId w:val="2"/>
        </w:numPr>
        <w:spacing w:after="40" w:before="40"/>
      </w:pPr>
      <w:r>
        <w:rPr>
          <w:rFonts w:ascii="Arial" w:cs="Arial" w:eastAsia="Arial" w:hAnsi="Arial"/>
          <w:sz w:val="20"/>
          <w:szCs w:val="20"/>
        </w:rPr>
        <w:t xml:space="preserve">Age 50+: CognitiveScore -= 5% (APA aging study, speed-based aptitude decline)</w:t>
      </w:r>
    </w:p>
    <w:p>
      <w:pPr>
        <w:pStyle w:val="ListParagraph"/>
        <w:numPr>
          <w:ilvl w:val="0"/>
          <w:numId w:val="2"/>
        </w:numPr>
        <w:spacing w:after="40" w:before="40"/>
      </w:pPr>
      <w:r>
        <w:rPr>
          <w:rFonts w:ascii="Arial" w:cs="Arial" w:eastAsia="Arial" w:hAnsi="Arial"/>
          <w:sz w:val="20"/>
          <w:szCs w:val="20"/>
        </w:rPr>
        <w:t xml:space="preserve">Associate Degree Technical: CognitiveScore += 25% on mechanical concepts (CAST-R validation study)</w:t>
      </w:r>
    </w:p>
    <w:p>
      <w:pPr>
        <w:pStyle w:val="ListParagraph"/>
        <w:numPr>
          <w:ilvl w:val="0"/>
          <w:numId w:val="2"/>
        </w:numPr>
        <w:spacing w:after="40" w:before="40"/>
      </w:pPr>
      <w:r>
        <w:rPr>
          <w:rFonts w:ascii="Arial" w:cs="Arial" w:eastAsia="Arial" w:hAnsi="Arial"/>
          <w:sz w:val="20"/>
          <w:szCs w:val="20"/>
        </w:rPr>
        <w:t xml:space="preserve">CEWD baseline: 50% of candidates score below the role passing threshold (50% industry pass rate)</w:t>
      </w:r>
    </w:p>
    <w:p>
      <w:pPr>
        <w:pStyle w:val="ListParagraph"/>
        <w:numPr>
          <w:ilvl w:val="0"/>
          <w:numId w:val="2"/>
        </w:numPr>
        <w:spacing w:after="40" w:before="40"/>
      </w:pPr>
      <w:r>
        <w:rPr>
          <w:rFonts w:ascii="Arial" w:cs="Arial" w:eastAsia="Arial" w:hAnsi="Arial"/>
          <w:sz w:val="20"/>
          <w:szCs w:val="20"/>
        </w:rPr>
        <w:t xml:space="preserve">SJT validity: SituationalScore correlates r=0.19-0.43 with job performance; r=0.45 with CognitiveScore</w:t>
      </w:r>
    </w:p>
    <w:p>
      <w:pPr>
        <w:pStyle w:val="ListParagraph"/>
        <w:numPr>
          <w:ilvl w:val="0"/>
          <w:numId w:val="2"/>
        </w:numPr>
        <w:spacing w:after="40" w:before="40"/>
      </w:pPr>
      <w:r>
        <w:rPr>
          <w:rFonts w:ascii="Arial" w:cs="Arial" w:eastAsia="Arial" w:hAnsi="Arial"/>
          <w:sz w:val="20"/>
          <w:szCs w:val="20"/>
        </w:rPr>
        <w:t xml:space="preserve">EEI SCL: Experienced workers (&gt;5yr tenure) BehavioralScore += 30% on safety maturity dimension</w:t>
      </w:r>
    </w:p>
    <w:p>
      <w:pPr>
        <w:spacing w:after="0" w:before="80"/>
      </w:pPr>
      <w:r>
        <w:t xml:space="preserve"/>
      </w:r>
    </w:p>
    <w:p>
      <w:pPr>
        <w:pStyle w:val="Heading2"/>
        <w:spacing w:after="80" w:before="280"/>
      </w:pPr>
      <w:r>
        <w:rPr>
          <w:rFonts w:ascii="Arial" w:cs="Arial" w:eastAsia="Arial" w:hAnsi="Arial"/>
          <w:b/>
          <w:bCs/>
          <w:color w:val="2E75B6"/>
          <w:sz w:val="26"/>
          <w:szCs w:val="26"/>
        </w:rPr>
        <w:t xml:space="preserve">1.4 Prior Work &amp; Training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1500"/>
        <w:gridCol w:w="1500"/>
        <w:gridCol w:w="2200"/>
        <w:gridCol w:w="1860"/>
      </w:tblGrid>
      <w:tr>
        <w:trPr>
          <w:tblHeader/>
        </w:trPr>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Field</w:t>
            </w:r>
          </w:p>
        </w:tc>
        <w:tc>
          <w:tcPr>
            <w:tcW w:type="dxa" w:w="9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Type</w:t>
            </w:r>
          </w:p>
        </w:tc>
        <w:tc>
          <w:tcPr>
            <w:tcW w:type="dxa" w:w="1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Source</w:t>
            </w:r>
          </w:p>
        </w:tc>
        <w:tc>
          <w:tcPr>
            <w:tcW w:type="dxa" w:w="1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Method</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Parameters</w:t>
            </w:r>
          </w:p>
        </w:tc>
        <w:tc>
          <w:tcPr>
            <w:tcW w:type="dxa" w:w="18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CTGAN Role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HasPriorTradeExperience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Boolean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BLS Tenure + WA L&amp;I Apprenticeship</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Bernoulli draw conditioned on 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Age 18-25: 30%, Age 26-35: 65%, Age 36-45: 82%, Age 46+: 91%. Derived from BLS age-tenure distributions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Strong predictor of LongestJobTenure and assessment scores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MostRecentIndustry</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Categorical</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CareerBuilder + ONET SOC mapping</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Weighted draw by SOC</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Utility=35%, Construction=25%, Manufacturing=18%, Military=12%, Other=10%. Informed by CareerBuilder employer mix and WA L&amp;I apprentice backgrounds</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Categorical feature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LongestJobTenure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Float (years)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BLS Tenure Tables 2024 — Util median 4.9yr, Install/Maint 3.9yr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Draw from log-normal conditioned on Age + EducationLevel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BLS Utilities median=4.9yr (2024), Installation/Maintenance/Repair occupation median=3.9yr. EY: 36.8% tenure decline over last decade. By age: 25-34=2.7yr, 35-44=4.6yr, 45-54=7.0yr, 55-64=9.6yr</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Key predictor — correlates with all Phase 4 retention outcomes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TrainingSource</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Categorical</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WA L&amp;I Apprenticeship program names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Weighted draw by SOC</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IBEW JATC=28% (electrical SOCs), Trade Union=20%, Community College=18%, Employer Program=15%, Military=12%, Self-taught=7%. Source: WA L&amp;I top program names</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Categorical feature — linked to ApprenticeshipInterest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ApprenticeshipInterest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Boolean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WA L&amp;I completion rates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Bernoulli draw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Rate=55%. Anchored to WA L&amp;I utility completion rate of 46.3% as floor; adjusted upward for interest (pre-placement) vs completion (post-placement)</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Feature for Phase 2 TrainingProvider routing</w:t>
            </w:r>
          </w:p>
        </w:tc>
      </w:tr>
    </w:tbl>
    <w:p>
      <w:pPr>
        <w:spacing w:after="0" w:before="80"/>
      </w:pPr>
      <w:r>
        <w:t xml:space="preserve"/>
      </w:r>
    </w:p>
    <w:p>
      <w:pPr>
        <w:pStyle w:val="Heading2"/>
        <w:spacing w:after="80" w:before="280"/>
      </w:pPr>
      <w:r>
        <w:rPr>
          <w:rFonts w:ascii="Arial" w:cs="Arial" w:eastAsia="Arial" w:hAnsi="Arial"/>
          <w:b/>
          <w:bCs/>
          <w:color w:val="2E75B6"/>
          <w:sz w:val="26"/>
          <w:szCs w:val="26"/>
        </w:rPr>
        <w:t xml:space="preserve">1.5 Screening Eligibility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1500"/>
        <w:gridCol w:w="1500"/>
        <w:gridCol w:w="2200"/>
        <w:gridCol w:w="1860"/>
      </w:tblGrid>
      <w:tr>
        <w:trPr>
          <w:tblHeader/>
        </w:trPr>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Field</w:t>
            </w:r>
          </w:p>
        </w:tc>
        <w:tc>
          <w:tcPr>
            <w:tcW w:type="dxa" w:w="9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Type</w:t>
            </w:r>
          </w:p>
        </w:tc>
        <w:tc>
          <w:tcPr>
            <w:tcW w:type="dxa" w:w="1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Source</w:t>
            </w:r>
          </w:p>
        </w:tc>
        <w:tc>
          <w:tcPr>
            <w:tcW w:type="dxa" w:w="1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Method</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Parameters</w:t>
            </w:r>
          </w:p>
        </w:tc>
        <w:tc>
          <w:tcPr>
            <w:tcW w:type="dxa" w:w="18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CTGAN Role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HasValidLicense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Boolean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CareerBuilder text mining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Bernoulli draw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Rate=78%. Derived from job posting requirements — valid drivers license most common baseline requirement across all utility SOCs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Hard eligibility gate</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CanPassDrugScreen</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Boolean</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CareerBuilder text mining + industry knowledge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Bernoulli draw</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Rate=88%. CareerBuilder: 45/257 postings explicitly mention drug screen (17.5% floor). Industry standard is near-universal for utility field roles. Use 88% as realistic population rate</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Hard eligibility gate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CanPassBackgroundCheck</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Boolean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CareerBuilder text mining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Bernoulli draw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Rate=85%. CareerBuilder: 27/257 postings mention explicitly (10.5% floor). Population-level rate much higher. Correlated with VeteranStatus positively</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Hard eligibility gate</w:t>
            </w:r>
          </w:p>
        </w:tc>
      </w:tr>
    </w:tbl>
    <w:p>
      <w:pPr>
        <w:spacing w:after="0" w:before="80"/>
      </w:pPr>
      <w:r>
        <w:t xml:space="preserve"/>
      </w:r>
    </w:p>
    <w:p>
      <w:pPr>
        <w:pStyle w:val="Heading2"/>
        <w:spacing w:after="80" w:before="280"/>
      </w:pPr>
      <w:r>
        <w:rPr>
          <w:rFonts w:ascii="Arial" w:cs="Arial" w:eastAsia="Arial" w:hAnsi="Arial"/>
          <w:b/>
          <w:bCs/>
          <w:color w:val="2E75B6"/>
          <w:sz w:val="26"/>
          <w:szCs w:val="26"/>
        </w:rPr>
        <w:t xml:space="preserve">1.6 Motivation &amp; Career Intent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1500"/>
        <w:gridCol w:w="1500"/>
        <w:gridCol w:w="2200"/>
        <w:gridCol w:w="1860"/>
      </w:tblGrid>
      <w:tr>
        <w:trPr>
          <w:tblHeader/>
        </w:trPr>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Field</w:t>
            </w:r>
          </w:p>
        </w:tc>
        <w:tc>
          <w:tcPr>
            <w:tcW w:type="dxa" w:w="9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Type</w:t>
            </w:r>
          </w:p>
        </w:tc>
        <w:tc>
          <w:tcPr>
            <w:tcW w:type="dxa" w:w="1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Source</w:t>
            </w:r>
          </w:p>
        </w:tc>
        <w:tc>
          <w:tcPr>
            <w:tcW w:type="dxa" w:w="1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Method</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Parameters</w:t>
            </w:r>
          </w:p>
        </w:tc>
        <w:tc>
          <w:tcPr>
            <w:tcW w:type="dxa" w:w="18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CTGAN Role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SpecificTradeInterest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Categorical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BLS Employment by Occupation + CareerBuilder ONET distribution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Weighted draw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Telecom=28%, Line Install=20%, Power Plant=16%, Water Treatment=16%, Gas Plant=12%, Meter Reader=8%. Source: BLS 2024 employment counts and CareerBuilder ONET code frequency</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Determines SOC assignment — drives all downstream score profiles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SourceOfCandidate</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Categorical</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CareerBuilder confidence_keywords + WA L&amp;I program types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Weighted draw</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WorkforceProgram=25%, SelfReferred=22%, TradeUnion=20%, MilitaryTransition=12%, CommunityCollege=13%, Other=8%. Informed by CareerBuilder recruitment signals and WA L&amp;I program mix</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Segmentation variable</w:t>
            </w:r>
          </w:p>
        </w:tc>
      </w:tr>
    </w:tbl>
    <w:p>
      <w:pPr>
        <w:spacing w:after="0" w:before="80"/>
      </w:pPr>
      <w:r>
        <w:t xml:space="preserve"/>
      </w:r>
    </w:p>
    <w:p>
      <w:pPr>
        <w:pStyle w:val="Heading2"/>
        <w:spacing w:after="80" w:before="280"/>
      </w:pPr>
      <w:r>
        <w:rPr>
          <w:rFonts w:ascii="Arial" w:cs="Arial" w:eastAsia="Arial" w:hAnsi="Arial"/>
          <w:b/>
          <w:bCs/>
          <w:color w:val="2E75B6"/>
          <w:sz w:val="26"/>
          <w:szCs w:val="26"/>
        </w:rPr>
        <w:t xml:space="preserve">1.7 PI Score Derivation</w:t>
      </w:r>
    </w:p>
    <w:p>
      <w:pPr>
        <w:spacing w:after="60" w:before="60"/>
      </w:pPr>
      <w:r>
        <w:rPr>
          <w:rFonts w:ascii="Arial" w:cs="Arial" w:eastAsia="Arial" w:hAnsi="Arial"/>
          <w:sz w:val="20"/>
          <w:szCs w:val="20"/>
        </w:rPr>
        <w:t xml:space="preserve">Sorvex360PI_Score (0-100) is a weighted composite of Phase 1 fields, computed after all baseline fields are generated: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Component</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Weight</w:t>
            </w:r>
          </w:p>
        </w:tc>
        <w:tc>
          <w:tcPr>
            <w:tcW w:type="dxa" w:w="5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CognitiveScore (normalized)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30%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Strongest predictor per SIOP cognitive ability research</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BehavioralScore (normalized)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20%</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SJT validity r=0.19-0.43 with job performance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SituationalScore (normalized)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20%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SJT: +18% quality-of-hire, -20% turnover when used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SimulationScore (normalized)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15%</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Role-specific technical simulation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HasPriorTradeExperience bonus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10%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Grit and skill continuity signal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EducationLevel bonus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5%</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Technical credential alignment to SOC</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1F7A8C"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PHASE 2 — PREPARE: Training &amp; Readiness Progression</w:t>
            </w:r>
          </w:p>
        </w:tc>
      </w:tr>
    </w:tbl>
    <w:p>
      <w:pPr>
        <w:spacing w:after="0" w:before="80"/>
      </w:pPr>
      <w:r>
        <w:t xml:space="preserve"/>
      </w:r>
    </w:p>
    <w:p>
      <w:pPr>
        <w:spacing w:after="60" w:before="60"/>
      </w:pPr>
      <w:r>
        <w:rPr>
          <w:rFonts w:ascii="Arial" w:cs="Arial" w:eastAsia="Arial" w:hAnsi="Arial"/>
          <w:sz w:val="20"/>
          <w:szCs w:val="20"/>
        </w:rPr>
        <w:t xml:space="preserve">These fields capture what happens during training. They are generated conditioned on Phase 1 fields — a candidate's baseline traits predict their training trajectory but do not determine it. Phase 2 outputs the ReadinessDelta.</w:t>
      </w:r>
    </w:p>
    <w:p>
      <w:pPr>
        <w:spacing w:after="0" w:before="80"/>
      </w:pPr>
      <w:r>
        <w:t xml:space="preserve"/>
      </w:r>
    </w:p>
    <w:p>
      <w:pPr>
        <w:pStyle w:val="Heading2"/>
        <w:spacing w:after="80" w:before="280"/>
      </w:pPr>
      <w:r>
        <w:rPr>
          <w:rFonts w:ascii="Arial" w:cs="Arial" w:eastAsia="Arial" w:hAnsi="Arial"/>
          <w:b/>
          <w:bCs/>
          <w:color w:val="2E75B6"/>
          <w:sz w:val="26"/>
          <w:szCs w:val="26"/>
        </w:rPr>
        <w:t xml:space="preserve">2.1 Training Participation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1500"/>
        <w:gridCol w:w="1500"/>
        <w:gridCol w:w="2200"/>
        <w:gridCol w:w="1860"/>
      </w:tblGrid>
      <w:tr>
        <w:trPr>
          <w:tblHeader/>
        </w:trPr>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Field</w:t>
            </w:r>
          </w:p>
        </w:tc>
        <w:tc>
          <w:tcPr>
            <w:tcW w:type="dxa" w:w="9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Type</w:t>
            </w:r>
          </w:p>
        </w:tc>
        <w:tc>
          <w:tcPr>
            <w:tcW w:type="dxa" w:w="1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Source</w:t>
            </w:r>
          </w:p>
        </w:tc>
        <w:tc>
          <w:tcPr>
            <w:tcW w:type="dxa" w:w="1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Method</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Parameters</w:t>
            </w:r>
          </w:p>
        </w:tc>
        <w:tc>
          <w:tcPr>
            <w:tcW w:type="dxa" w:w="18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CTGAN Role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TrainingProvider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String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WA L&amp;I Apprenticeship program names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Categorical draw by SOC + TrainingSource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Electrical: IBEW JATC programs (Northwest Line Construction, Inside Wireman programs). Water: WA Drainage/Wastewater programs. General: Community college names by state. Source: WA L&amp;I top program names by SOC</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Categorical — used for downstream provider quality scoring</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TotalTrainingHours</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Integer</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WA L&amp;I Apprenticeship Term in Hours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Normal draw by SOC</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WA L&amp;I all utility trades: Mean=6,657hr, Median=6,400hr, SD=1,992hr. By SOC — Line Installer (49-9051): Mean=7,000hr. Telecom (49-2022): Mean=4,000-6,000hr. Range [2000, 10000]</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Duration signal — longer programs correlate with higher Phase 4 retention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AttendanceRate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Float (0-1)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Vocational Student Dataset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Beta distribution conditioned on BehavioralScore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Vocational dataset: Mean=0.781, SD=0.150, Min=0.50, Max=0.983. Beta(a=8, b=2.2) approximates this. Higher BehavioralScore → higher attendance (weak positive correlation)</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Strong predictor of DropoutReason and Phase 4 UnscheduledAbsences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StartDate</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Date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Derived</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Random date within 2020-2024 range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Uniform draw across 2020-2024 to create temporal diversity in the synthetic dataset</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Temporal anchor for all date fields in Phase 2</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EndDate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Date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Derived from TotalTrainingHours + StartDate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Calculated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Assuming 40hr/week: EndDate = StartDate + (TotalTrainingHours / 40) weeks. Adjusted for Completed vs Dropped status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Temporal field</w:t>
            </w:r>
          </w:p>
        </w:tc>
      </w:tr>
    </w:tbl>
    <w:p>
      <w:pPr>
        <w:spacing w:after="0" w:before="80"/>
      </w:pPr>
      <w:r>
        <w:t xml:space="preserve"/>
      </w:r>
    </w:p>
    <w:p>
      <w:pPr>
        <w:pStyle w:val="Heading2"/>
        <w:spacing w:after="80" w:before="280"/>
      </w:pPr>
      <w:r>
        <w:rPr>
          <w:rFonts w:ascii="Arial" w:cs="Arial" w:eastAsia="Arial" w:hAnsi="Arial"/>
          <w:b/>
          <w:bCs/>
          <w:color w:val="2E75B6"/>
          <w:sz w:val="26"/>
          <w:szCs w:val="26"/>
        </w:rPr>
        <w:t xml:space="preserve">2.2 Curriculum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1500"/>
        <w:gridCol w:w="1500"/>
        <w:gridCol w:w="2200"/>
        <w:gridCol w:w="1860"/>
      </w:tblGrid>
      <w:tr>
        <w:trPr>
          <w:tblHeader/>
        </w:trPr>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Field</w:t>
            </w:r>
          </w:p>
        </w:tc>
        <w:tc>
          <w:tcPr>
            <w:tcW w:type="dxa" w:w="9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Type</w:t>
            </w:r>
          </w:p>
        </w:tc>
        <w:tc>
          <w:tcPr>
            <w:tcW w:type="dxa" w:w="1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Source</w:t>
            </w:r>
          </w:p>
        </w:tc>
        <w:tc>
          <w:tcPr>
            <w:tcW w:type="dxa" w:w="1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Method</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Parameters</w:t>
            </w:r>
          </w:p>
        </w:tc>
        <w:tc>
          <w:tcPr>
            <w:tcW w:type="dxa" w:w="18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CTGAN Role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PassedRequiredModules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Boolean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Vocational Student Dataset + WA L&amp;I completion rates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Bernoulli draw conditioned on AttendanceRate + CognitiveScore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WA L&amp;I utility completion rate: 46.3% (11,531 completed / 24,904 utility apprentices). Vocational dataset performance label: High=30.5%, Medium=30%, Low=39.5%. Conditioned: AttendanceRate&gt;0.85 AND CognitiveScore&gt;60 → pass rate 78%</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Gate field — Completed status depends on this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CertificationsEarned</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Integer</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WA L&amp;I Current Step field (1-7+)</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Poisson draw conditioned on PassedRequiredModules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WA L&amp;I utility apprentices: Mean step=3.2. Completed=Mean 4.1 certs, Active=Mean 2.3, Cancelled=Mean 1.1. Range [0, 6]</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Credential accumulation signal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SimulationPerformance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Float (0-100)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ONET SimulationScore + EEI CAST scoring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Normal draw conditioned on SOC + CognitiveScore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CAST tipping point=score 5 (maps to ~55/100). Outstanding=score 10 (maps to ~90/100). Correlated with Phase 1 SimulationScore (r~0.65). SOC-specific means from Phase 1 score table</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Technical readiness indicator</w:t>
            </w:r>
          </w:p>
        </w:tc>
      </w:tr>
    </w:tbl>
    <w:p>
      <w:pPr>
        <w:spacing w:after="0" w:before="80"/>
      </w:pPr>
      <w:r>
        <w:t xml:space="preserve"/>
      </w:r>
    </w:p>
    <w:p>
      <w:pPr>
        <w:pStyle w:val="Heading2"/>
        <w:spacing w:after="80" w:before="280"/>
      </w:pPr>
      <w:r>
        <w:rPr>
          <w:rFonts w:ascii="Arial" w:cs="Arial" w:eastAsia="Arial" w:hAnsi="Arial"/>
          <w:b/>
          <w:bCs/>
          <w:color w:val="2E75B6"/>
          <w:sz w:val="26"/>
          <w:szCs w:val="26"/>
        </w:rPr>
        <w:t xml:space="preserve">2.3 Instructor Feedback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1500"/>
        <w:gridCol w:w="1500"/>
        <w:gridCol w:w="2200"/>
        <w:gridCol w:w="1860"/>
      </w:tblGrid>
      <w:tr>
        <w:trPr>
          <w:tblHeader/>
        </w:trPr>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Field</w:t>
            </w:r>
          </w:p>
        </w:tc>
        <w:tc>
          <w:tcPr>
            <w:tcW w:type="dxa" w:w="9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Type</w:t>
            </w:r>
          </w:p>
        </w:tc>
        <w:tc>
          <w:tcPr>
            <w:tcW w:type="dxa" w:w="1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Source</w:t>
            </w:r>
          </w:p>
        </w:tc>
        <w:tc>
          <w:tcPr>
            <w:tcW w:type="dxa" w:w="1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Method</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Parameters</w:t>
            </w:r>
          </w:p>
        </w:tc>
        <w:tc>
          <w:tcPr>
            <w:tcW w:type="dxa" w:w="18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CTGAN Role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TeamworkScore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Float (1-5)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Factory Worker Behavior Dataset — sociality/goodness traits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Normal draw conditioned on sub_sociality_h + sub_goodness_h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Factory dataset: trait mean=0.72, SD=0.15. Map to 1-5 scale. Mean=3.2, SD=0.7. Weak positive correlation with BehavioralScore (r~0.15)</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Subjective evaluation — feeds ManagerFitFeedback_Score in Phase 4</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SafetyCommitmentScore</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Float (1-5)</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EEI SCL Model + ONET Public Safety knowledge scores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Normal draw conditioned on SOC + BehavioralScore + age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EEI SCL: experienced workers +30% safety maturity. ONET Public Safety knowledge: Gas Plant=74, Water=79, Power Plant=67, Line Install=58, Telecom=59, Meter Reader=62. Age 50+ bonus applies</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Critical field — predicts Phase 4 OSHA_Recordable_Incident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ReliabilityScore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Float (1-5)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Factory Worker Behavior + BLS tenure patterns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Normal draw conditioned on AttendanceRate + commitment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Mean=3.3, SD=0.65. Factory dataset commitment_h correlation with absence_rate=0.065 (weak positive). Higher attendance → higher reliability</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Predicts Phase 4 UnscheduledAbsences</w:t>
            </w:r>
          </w:p>
        </w:tc>
      </w:tr>
    </w:tbl>
    <w:p>
      <w:pPr>
        <w:spacing w:after="0" w:before="80"/>
      </w:pPr>
      <w:r>
        <w:t xml:space="preserve"/>
      </w:r>
    </w:p>
    <w:p>
      <w:pPr>
        <w:pStyle w:val="Heading2"/>
        <w:spacing w:after="80" w:before="280"/>
      </w:pPr>
      <w:r>
        <w:rPr>
          <w:rFonts w:ascii="Arial" w:cs="Arial" w:eastAsia="Arial" w:hAnsi="Arial"/>
          <w:b/>
          <w:bCs/>
          <w:color w:val="2E75B6"/>
          <w:sz w:val="26"/>
          <w:szCs w:val="26"/>
        </w:rPr>
        <w:t xml:space="preserve">2.4 Physical Aptitude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1500"/>
        <w:gridCol w:w="1500"/>
        <w:gridCol w:w="2200"/>
        <w:gridCol w:w="1860"/>
      </w:tblGrid>
      <w:tr>
        <w:trPr>
          <w:tblHeader/>
        </w:trPr>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Field</w:t>
            </w:r>
          </w:p>
        </w:tc>
        <w:tc>
          <w:tcPr>
            <w:tcW w:type="dxa" w:w="9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Type</w:t>
            </w:r>
          </w:p>
        </w:tc>
        <w:tc>
          <w:tcPr>
            <w:tcW w:type="dxa" w:w="1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Source</w:t>
            </w:r>
          </w:p>
        </w:tc>
        <w:tc>
          <w:tcPr>
            <w:tcW w:type="dxa" w:w="1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Method</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Parameters</w:t>
            </w:r>
          </w:p>
        </w:tc>
        <w:tc>
          <w:tcPr>
            <w:tcW w:type="dxa" w:w="18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CTGAN Role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PhysicalTestResult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Boolean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CareerBuilder lift requirements by SOC</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Bernoulli draw conditioned on SOC + sub_strength_h proxy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CareerBuilder: 50lb most common requirement (27 postings), 75lb (9), 25lb (8). Pass rate: Line Installer=78%, Gas/Power Plant=82%, Telecom=85%, Meter Reader=90%, Water=80%. Conditioned on age (Age 50+: -8%)</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Physical eligibility gate — most critical for 49-9051</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PoleClimbResult</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Boolean</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Industry knowledge + WA L&amp;I lineworker programs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Bernoulli draw for applicable SOCs only</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Applicable to 49-9051 (Line Installer) only. Pass rate=72%. Set to NULL for all other SOCs. Source: WA L&amp;I Construction Lineman program requirements</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Role-specific physical gate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Lift50lbsTest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Boolean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CareerBuilder text mining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Bernoulli draw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Pass rate=88% overall. By SOC: Line Install=75%, Plant Operators=82%, Telecom=88%, Meter Reader=92%</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Physical compliance field</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ColorBlindness</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Boolean</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Industry knowledge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Bernoulli draw</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Prevalence=8% male, 0.5% female. Apply per-gender. Critical for electrical SOCs (color-coded wiring)</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Eligibility flag — disqualifying for some electrical roles</w:t>
            </w:r>
          </w:p>
        </w:tc>
      </w:tr>
    </w:tbl>
    <w:p>
      <w:pPr>
        <w:spacing w:after="0" w:before="80"/>
      </w:pPr>
      <w:r>
        <w:t xml:space="preserve"/>
      </w:r>
    </w:p>
    <w:p>
      <w:pPr>
        <w:pStyle w:val="Heading2"/>
        <w:spacing w:after="80" w:before="280"/>
      </w:pPr>
      <w:r>
        <w:rPr>
          <w:rFonts w:ascii="Arial" w:cs="Arial" w:eastAsia="Arial" w:hAnsi="Arial"/>
          <w:b/>
          <w:bCs/>
          <w:color w:val="2E75B6"/>
          <w:sz w:val="26"/>
          <w:szCs w:val="26"/>
        </w:rPr>
        <w:t xml:space="preserve">2.5 Completion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1500"/>
        <w:gridCol w:w="1500"/>
        <w:gridCol w:w="2200"/>
        <w:gridCol w:w="1860"/>
      </w:tblGrid>
      <w:tr>
        <w:trPr>
          <w:tblHeader/>
        </w:trPr>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Field</w:t>
            </w:r>
          </w:p>
        </w:tc>
        <w:tc>
          <w:tcPr>
            <w:tcW w:type="dxa" w:w="9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Type</w:t>
            </w:r>
          </w:p>
        </w:tc>
        <w:tc>
          <w:tcPr>
            <w:tcW w:type="dxa" w:w="1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Source</w:t>
            </w:r>
          </w:p>
        </w:tc>
        <w:tc>
          <w:tcPr>
            <w:tcW w:type="dxa" w:w="1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Method</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Parameters</w:t>
            </w:r>
          </w:p>
        </w:tc>
        <w:tc>
          <w:tcPr>
            <w:tcW w:type="dxa" w:w="18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CTGAN Role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Completed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Boolean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WA L&amp;I completion rates + Vocational dataset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Bernoulli draw conditioned on AttendanceRate + PassedRequiredModules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WA L&amp;I utility: Completed=46.3%, Active=19.2%, Cancelled=30.6%, Transferred=3.6%, Suspended=0.3%. For synthetic: Completed=55%, Dropped=28%, Transferred=12%, Suspended=5%. Conditioned: PassedRequiredModules=True → Completed rate 85%</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Binary outcome — most important Phase 2 field for Phase 4 prediction</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DropoutReason</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Categorical</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WA L&amp;I Cancel Reason + Vocational dataset performance_label</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Conditional draw — only populated if Completed=False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Personal=35%, Work Conflict=25%, Performance=20%, Medical=10%, Unknown=10%. Vocational dataset: Low performance=39.5% of records informs performance dropout share</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Dropout attribution — feeds Time_To_Competency and turnover risk</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Sorvex360PI_Score_AtCompletion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Float (0-100)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Derived from Phase 1 PI Score + training delta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Calculated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PI_AtCompletion = PI_Baseline + (ReadinessDelta). ReadinessDelta range: [-10, +25] conditioned on Completed=True. Dropouts receive a -5 to -15 delta</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Measures training impact — delta between Phase 1 and Phase 2 scores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C55A11"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PHASE 3 — PLACE: Compliance &amp; Placement Context</w:t>
            </w:r>
          </w:p>
        </w:tc>
      </w:tr>
    </w:tbl>
    <w:p>
      <w:pPr>
        <w:spacing w:after="0" w:before="80"/>
      </w:pPr>
      <w:r>
        <w:t xml:space="preserve"/>
      </w:r>
    </w:p>
    <w:p>
      <w:pPr>
        <w:spacing w:after="60" w:before="60"/>
      </w:pPr>
      <w:r>
        <w:rPr>
          <w:rFonts w:ascii="Arial" w:cs="Arial" w:eastAsia="Arial" w:hAnsi="Arial"/>
          <w:sz w:val="20"/>
          <w:szCs w:val="20"/>
        </w:rPr>
        <w:t xml:space="preserve">Phase 3 records are only generated for candidates where Completed=True in Phase 2. These fields capture the employer-side placement context and compliance verification at the moment of hire.</w:t>
      </w:r>
    </w:p>
    <w:p>
      <w:pPr>
        <w:spacing w:after="0" w:before="80"/>
      </w:pPr>
      <w:r>
        <w:t xml:space="preserve"/>
      </w:r>
    </w:p>
    <w:p>
      <w:pPr>
        <w:pStyle w:val="Heading2"/>
        <w:spacing w:after="80" w:before="280"/>
      </w:pPr>
      <w:r>
        <w:rPr>
          <w:rFonts w:ascii="Arial" w:cs="Arial" w:eastAsia="Arial" w:hAnsi="Arial"/>
          <w:b/>
          <w:bCs/>
          <w:color w:val="2E75B6"/>
          <w:sz w:val="26"/>
          <w:szCs w:val="26"/>
        </w:rPr>
        <w:t xml:space="preserve">3.1 Placement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1500"/>
        <w:gridCol w:w="1500"/>
        <w:gridCol w:w="2200"/>
        <w:gridCol w:w="1860"/>
      </w:tblGrid>
      <w:tr>
        <w:trPr>
          <w:tblHeader/>
        </w:trPr>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Field</w:t>
            </w:r>
          </w:p>
        </w:tc>
        <w:tc>
          <w:tcPr>
            <w:tcW w:type="dxa" w:w="9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Type</w:t>
            </w:r>
          </w:p>
        </w:tc>
        <w:tc>
          <w:tcPr>
            <w:tcW w:type="dxa" w:w="1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Source</w:t>
            </w:r>
          </w:p>
        </w:tc>
        <w:tc>
          <w:tcPr>
            <w:tcW w:type="dxa" w:w="1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Method</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Parameters</w:t>
            </w:r>
          </w:p>
        </w:tc>
        <w:tc>
          <w:tcPr>
            <w:tcW w:type="dxa" w:w="18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CTGAN Role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EmployerName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String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CareerBuilder Strict — top employers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Weighted draw by SOC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Top utility employers from CareerBuilder: Exelon, Charter Communications, Pike Corporation, NPL Construction, Q3 Contracting, Veolia North America, US Cellular, GPAC, Davey Tree, Altec Industries. Weight by SOC — electrical SOCs draw from IBEW-affiliated employers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Employer identity — used for employer-level segmentation</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JobFamily</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Categorical</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ONET SOC codes + CareerBuilder ONET mapping</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Direct map from SpecificTradeInterest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Maps 1:1 from Phase 1 SpecificTradeInterest SOC assignment. Adds readable label: Line Installer, Plant Operator, Water Operator, Telecom Tech, Gas Operator, Meter Reader</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Join key for role-specific outcome modeling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EmploymentType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Categorical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CareerBuilder Strict job_type by SOC</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Weighted draw by SOC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Overall: Full-Time=86%, Part-Time=7%, Contractor=4%, Seasonal=2%. By SOC — Telecom (49-2022): FT=86%, Contract=10%. Line Install (49-9051): FT=93%, PT=7%. Source: CareerBuilder 221-record breakdown by SOC</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Employment classification</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UnionStatus</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Boolean</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BLS Util Rate of Union Rep + CareerBuilder text mining</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Bernoulli draw by SOC</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Overall utility union rate: 22% (BLS 2024 average). By SOC — Gas Plant (51-8092): 40%, Line Installer (49-9051): 22%, Telecom (49-2022): 8%, Plant Operators: 15-20%, Water/Meter: 10-15%. Source: CareerBuilder union mention rate by SOC + BLS</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Classification — union vs non-union affects wage and tenure distributions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HireDate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Date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Derived from EndDate + placement lag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Calculated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HireDate = EndDate + Uniform(7, 90) days. Placement lag represents job search period after training completion</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Temporal anchor for Phase 4 tenure calculations</w:t>
            </w:r>
          </w:p>
        </w:tc>
      </w:tr>
    </w:tbl>
    <w:p>
      <w:pPr>
        <w:spacing w:after="0" w:before="80"/>
      </w:pPr>
      <w:r>
        <w:t xml:space="preserve"/>
      </w:r>
    </w:p>
    <w:p>
      <w:pPr>
        <w:pStyle w:val="Heading2"/>
        <w:spacing w:after="80" w:before="280"/>
      </w:pPr>
      <w:r>
        <w:rPr>
          <w:rFonts w:ascii="Arial" w:cs="Arial" w:eastAsia="Arial" w:hAnsi="Arial"/>
          <w:b/>
          <w:bCs/>
          <w:color w:val="2E75B6"/>
          <w:sz w:val="26"/>
          <w:szCs w:val="26"/>
        </w:rPr>
        <w:t xml:space="preserve">3.2 Compliance-at-Placement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1500"/>
        <w:gridCol w:w="1500"/>
        <w:gridCol w:w="2200"/>
        <w:gridCol w:w="1860"/>
      </w:tblGrid>
      <w:tr>
        <w:trPr>
          <w:tblHeader/>
        </w:trPr>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Field</w:t>
            </w:r>
          </w:p>
        </w:tc>
        <w:tc>
          <w:tcPr>
            <w:tcW w:type="dxa" w:w="9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Type</w:t>
            </w:r>
          </w:p>
        </w:tc>
        <w:tc>
          <w:tcPr>
            <w:tcW w:type="dxa" w:w="1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Source</w:t>
            </w:r>
          </w:p>
        </w:tc>
        <w:tc>
          <w:tcPr>
            <w:tcW w:type="dxa" w:w="1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Method</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Parameters</w:t>
            </w:r>
          </w:p>
        </w:tc>
        <w:tc>
          <w:tcPr>
            <w:tcW w:type="dxa" w:w="18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CTGAN Role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RoleRequires_CDL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Boolean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CareerBuilder CDL analysis by SOC</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Rule-based by SOC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Line Installer: 25%, Gas Plant: 40%, others: 2-5%. Mirrors CDL_Status from Phase 1 with role-level adjustment</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Compliance requirement flag</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RoleRequires_DOTMedical</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Boolean</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Industry knowledge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Rule-based by SOC + CDL_Status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Required if CDL_Status=True. Rate follows CDL rate by SOC</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Compliance requirement flag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RoleRequires_OSHA10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Boolean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CareerBuilder text mining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Rule-based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Construction-adjacent roles (49-9051, 2371x): 45%, Plant operators: 15%, Telecom: 12%, others: 8%</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Compliance requirement flag</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RoleRequires_CPR</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Boolean</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CareerBuilder text mining by SOC</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Rule-based by SOC</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Water/Wastewater (51-8031): 35%, Gas Plant: 20%, Power Plant: 18%, others: 5-8%</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Compliance requirement flag</w:t>
            </w:r>
          </w:p>
        </w:tc>
      </w:tr>
    </w:tbl>
    <w:p>
      <w:pPr>
        <w:spacing w:after="0" w:before="80"/>
      </w:pPr>
      <w:r>
        <w:t xml:space="preserve"/>
      </w:r>
    </w:p>
    <w:p>
      <w:pPr>
        <w:pStyle w:val="Heading2"/>
        <w:spacing w:after="80" w:before="280"/>
      </w:pPr>
      <w:r>
        <w:rPr>
          <w:rFonts w:ascii="Arial" w:cs="Arial" w:eastAsia="Arial" w:hAnsi="Arial"/>
          <w:b/>
          <w:bCs/>
          <w:color w:val="2E75B6"/>
          <w:sz w:val="26"/>
          <w:szCs w:val="26"/>
        </w:rPr>
        <w:t xml:space="preserve">3.3 Pre-Hire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1500"/>
        <w:gridCol w:w="1500"/>
        <w:gridCol w:w="2200"/>
        <w:gridCol w:w="1860"/>
      </w:tblGrid>
      <w:tr>
        <w:trPr>
          <w:tblHeader/>
        </w:trPr>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Field</w:t>
            </w:r>
          </w:p>
        </w:tc>
        <w:tc>
          <w:tcPr>
            <w:tcW w:type="dxa" w:w="9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Type</w:t>
            </w:r>
          </w:p>
        </w:tc>
        <w:tc>
          <w:tcPr>
            <w:tcW w:type="dxa" w:w="1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Source</w:t>
            </w:r>
          </w:p>
        </w:tc>
        <w:tc>
          <w:tcPr>
            <w:tcW w:type="dxa" w:w="1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Method</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Parameters</w:t>
            </w:r>
          </w:p>
        </w:tc>
        <w:tc>
          <w:tcPr>
            <w:tcW w:type="dxa" w:w="18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CTGAN Role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PreHire_Verified_MVR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Boolean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Derived from HasValidLicense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Conditional Bernoulli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If HasValidLicense=True: 92% verified. If False: 5% verified (edge cases). CDL roles require MVR verification at higher rate</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Verification completion flag</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PreHire_Verified_DrugScreen</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Boolean</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Derived from CanPassDrugScreen</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Conditional Bernoulli</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If CanPassDrugScreen=True: 96% verified. If False: 8% attempted (some fail, some not tested). Near-universal for utility field roles</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Verification completion flag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PreHire_Verified_Background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Boolean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Derived from CanPassBackgroundCheck</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Conditional Bernoulli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If CanPassBackgroundCheck=True: 94% verified. Standard pre-employment requirement</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Verification completion flag</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PreHire_Verified_Certificates</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Boolean</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Derived from CertificationsEarned</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Conditional on CertificationsEarned &gt; 0</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If CertificationsEarned &gt; 0: 88% verified. Employer confirms credential validity</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Verification completion flag</w:t>
            </w:r>
          </w:p>
        </w:tc>
      </w:tr>
    </w:tbl>
    <w:p>
      <w:pPr>
        <w:spacing w:after="0" w:before="80"/>
      </w:pPr>
      <w:r>
        <w:t xml:space="preserve"/>
      </w:r>
    </w:p>
    <w:p>
      <w:pPr>
        <w:pStyle w:val="Heading2"/>
        <w:spacing w:after="80" w:before="280"/>
      </w:pPr>
      <w:r>
        <w:rPr>
          <w:rFonts w:ascii="Arial" w:cs="Arial" w:eastAsia="Arial" w:hAnsi="Arial"/>
          <w:b/>
          <w:bCs/>
          <w:color w:val="2E75B6"/>
          <w:sz w:val="26"/>
          <w:szCs w:val="26"/>
        </w:rPr>
        <w:t xml:space="preserve">3.4 Orientation &amp; Registration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1500"/>
        <w:gridCol w:w="1500"/>
        <w:gridCol w:w="2200"/>
        <w:gridCol w:w="1860"/>
      </w:tblGrid>
      <w:tr>
        <w:trPr>
          <w:tblHeader/>
        </w:trPr>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Field</w:t>
            </w:r>
          </w:p>
        </w:tc>
        <w:tc>
          <w:tcPr>
            <w:tcW w:type="dxa" w:w="9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Type</w:t>
            </w:r>
          </w:p>
        </w:tc>
        <w:tc>
          <w:tcPr>
            <w:tcW w:type="dxa" w:w="1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Source</w:t>
            </w:r>
          </w:p>
        </w:tc>
        <w:tc>
          <w:tcPr>
            <w:tcW w:type="dxa" w:w="1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Method</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Parameters</w:t>
            </w:r>
          </w:p>
        </w:tc>
        <w:tc>
          <w:tcPr>
            <w:tcW w:type="dxa" w:w="18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CTGAN Role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Orientation_SiteSafety_Date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Date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Derived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HireDate + Uniform(0, 3) days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Safety orientation typically within first 3 working days of hire</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Onboarding temporal field</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Orientation_LOTO_Completed</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Boolean</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Industry knowledge by SOC</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Rule-based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Required for: Power Plant (51-8013)=98%, Gas Plant (51-8092)=95%, Line Installer (49-9051)=90%, Water (51-8031)=85%, Telecom=40%, Meter Reader=20%. LOTO = Lockout/Tagout safety procedure</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Safety onboarding compliance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Orientation_PPE_Fitted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Boolean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Industry knowledge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Bernoulli draw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Rate=95% for all field roles. Near-universal for utility field work. Telecom residential: 80%</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Safety onboarding compliance</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Apprenticeship_Registered</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Boolean</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WA L&amp;I + ApprenticeshipInterest</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Conditional on ApprenticeshipInterest + UnionStatus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If ApprenticeshipInterest=True AND UnionStatus=True: 85% registered. If ApprenticeshipInterest=True AND UnionStatus=False: 40%. Source: WA L&amp;I active apprentice rate</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Pipeline quality indicator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375623"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PHASE 4 — POST-HIRE OUTCOMES: Ground Truth Feedback Loop</w:t>
            </w:r>
          </w:p>
        </w:tc>
      </w:tr>
    </w:tbl>
    <w:p>
      <w:pPr>
        <w:spacing w:after="0" w:before="80"/>
      </w:pPr>
      <w:r>
        <w:t xml:space="preserve"/>
      </w:r>
    </w:p>
    <w:p>
      <w:pPr>
        <w:spacing w:after="60" w:before="60"/>
      </w:pPr>
      <w:r>
        <w:rPr>
          <w:rFonts w:ascii="Arial" w:cs="Arial" w:eastAsia="Arial" w:hAnsi="Arial"/>
          <w:sz w:val="20"/>
          <w:szCs w:val="20"/>
        </w:rPr>
        <w:t xml:space="preserve">Phase 4 contains the Y variables — the outcomes your AI model learns to predict. These fields are the ground truth that makes the pipeline a predictive system rather than just a demographic generator. Parameters are derived from the OSHA EDA (3,295 utility records), Factory Worker EDA (687 workers), and BLS tenure data.</w:t>
      </w:r>
    </w:p>
    <w:p>
      <w:pPr>
        <w:spacing w:after="0" w:before="80"/>
      </w:pPr>
      <w:r>
        <w:t xml:space="preserve"/>
      </w:r>
    </w:p>
    <w:p>
      <w:pPr>
        <w:pStyle w:val="Heading2"/>
        <w:spacing w:after="80" w:before="280"/>
      </w:pPr>
      <w:r>
        <w:rPr>
          <w:rFonts w:ascii="Arial" w:cs="Arial" w:eastAsia="Arial" w:hAnsi="Arial"/>
          <w:b/>
          <w:bCs/>
          <w:color w:val="2E75B6"/>
          <w:sz w:val="26"/>
          <w:szCs w:val="26"/>
        </w:rPr>
        <w:t xml:space="preserve">4.1 Tenure &amp; Retention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1500"/>
        <w:gridCol w:w="1500"/>
        <w:gridCol w:w="2200"/>
        <w:gridCol w:w="1860"/>
      </w:tblGrid>
      <w:tr>
        <w:trPr>
          <w:tblHeader/>
        </w:trPr>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Field</w:t>
            </w:r>
          </w:p>
        </w:tc>
        <w:tc>
          <w:tcPr>
            <w:tcW w:type="dxa" w:w="9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Type</w:t>
            </w:r>
          </w:p>
        </w:tc>
        <w:tc>
          <w:tcPr>
            <w:tcW w:type="dxa" w:w="1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Source</w:t>
            </w:r>
          </w:p>
        </w:tc>
        <w:tc>
          <w:tcPr>
            <w:tcW w:type="dxa" w:w="1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Method</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Parameters</w:t>
            </w:r>
          </w:p>
        </w:tc>
        <w:tc>
          <w:tcPr>
            <w:tcW w:type="dxa" w:w="18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CTGAN Role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TenureInDays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Integer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BLS Tenure Tables 2024 — Util median 4.9yr, Install/Maint 3.9yr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Draw from Weibull distribution conditioned on SOC + EmploymentType + UnionStatus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Utility industry median=4.9yr (1,789 days). Installation/Maintenance/Repair median=3.9yr (1,424 days). EY: 36.8% tenure decline over decade. By age: 25-34=2.7yr, 35-44=4.6yr, 45-54=7.0yr, 55-64=9.6yr. Union workers: +35% tenure. Range [1, 7300 days]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Master retention metric — all milestone flags derived from this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Tenure_90Day</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Boolean</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BLS tenure distribution + Vocational dropout pattern</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Derived from TenureInDays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True if TenureInDays &gt;= 90. BLS: 22.2% of all workers leave within 12 months — approximately 8% within 90 days. Rate by SOC conditioned on ProbationStatus</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Early retention milestone — most predictive window for turnover risk</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Tenure_6Month</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Boolean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BLS tenure distribution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Derived from TenureInDays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True if TenureInDays &gt;= 180. ~15% attrition in first 6 months for utilities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Mid-term retention milestone</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Tenure_1Year</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Boolean</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BLS Tenure_10yr_Plus_Rate + tenure distribution</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Derived from TenureInDays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True if TenureInDays &gt;= 365. BLS: 22.2% leave within 12 months → 77.8% pass 1-year mark. By age: Age 25-34=72%, Age 35-44=82%, Age 45-54=87%, Age 55-64=90%</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Primary retention outcome — key AI target variable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EmploymentStatus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Categorical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Derived from TenureInDays + study endpoint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Calculated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Active=55%, Separated=35%, On Leave=5%, Transferred=5%. Separation types: Voluntary=60%, Involuntary=25%, Retirement=15%</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Current status label</w:t>
            </w:r>
          </w:p>
        </w:tc>
      </w:tr>
    </w:tbl>
    <w:p>
      <w:pPr>
        <w:spacing w:after="0" w:before="80"/>
      </w:pPr>
      <w:r>
        <w:t xml:space="preserve"/>
      </w:r>
    </w:p>
    <w:p>
      <w:pPr>
        <w:pStyle w:val="Heading2"/>
        <w:spacing w:after="80" w:before="280"/>
      </w:pPr>
      <w:r>
        <w:rPr>
          <w:rFonts w:ascii="Arial" w:cs="Arial" w:eastAsia="Arial" w:hAnsi="Arial"/>
          <w:b/>
          <w:bCs/>
          <w:color w:val="2E75B6"/>
          <w:sz w:val="26"/>
          <w:szCs w:val="26"/>
        </w:rPr>
        <w:t xml:space="preserve">4.2 Safety &amp; Compliance Performance</w:t>
      </w:r>
    </w:p>
    <w:p>
      <w:pPr>
        <w:spacing w:after="60" w:before="60"/>
      </w:pPr>
      <w:r>
        <w:rPr>
          <w:rFonts w:ascii="Arial" w:cs="Arial" w:eastAsia="Arial" w:hAnsi="Arial"/>
          <w:sz w:val="20"/>
          <w:szCs w:val="20"/>
        </w:rPr>
        <w:t xml:space="preserve">Parameters anchored to OSHA EDA results (3,295 utility records, NAICS 221x + 2371x + 9261x) and BLS injury rate of 1.9 recordable cases per 100 full-time workers.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1500"/>
        <w:gridCol w:w="1500"/>
        <w:gridCol w:w="2200"/>
        <w:gridCol w:w="1860"/>
      </w:tblGrid>
      <w:tr>
        <w:trPr>
          <w:tblHeader/>
        </w:trPr>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Field</w:t>
            </w:r>
          </w:p>
        </w:tc>
        <w:tc>
          <w:tcPr>
            <w:tcW w:type="dxa" w:w="9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Type</w:t>
            </w:r>
          </w:p>
        </w:tc>
        <w:tc>
          <w:tcPr>
            <w:tcW w:type="dxa" w:w="1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Source</w:t>
            </w:r>
          </w:p>
        </w:tc>
        <w:tc>
          <w:tcPr>
            <w:tcW w:type="dxa" w:w="1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Method</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Parameters</w:t>
            </w:r>
          </w:p>
        </w:tc>
        <w:tc>
          <w:tcPr>
            <w:tcW w:type="dxa" w:w="18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CTGAN Role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OSHA_Recordable_Incident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Boolean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OSHA EDA + BLS Rate of Injury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Bernoulli draw conditioned on SOC + SafetyCommitmentScore + TenureInDays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BLS base rate: 1.9 per 100 FTE workers = 1.9% annual probability. OSHA EDA (severe injury subset): hospitalization rate=89.7%. Conditioned: SafetyCommitmentScore&lt;3 AND TenureInDays&lt;365: 3.2%. SafetyCommitmentScore&gt;4 AND TenureInDays&gt;730: 0.8%</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Binary safety outcome — key AI target variable</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TotalSafetyIncidents</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Integer</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OSHA EDA event category distribution</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Poisson draw conditioned on OSHA_Recordable_Incident + SOC</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If OSHA_Recordable_Incident=False: Poisson(lambda=0.3). If True: Poisson(lambda=2.1). OSHA EDA event categories: Fall=34.8%, Struck By=16.9%, Caught/Compressed=14.7%, Electrical=14.1%, Other=13.5%, Exposure=5.9%</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Incident count — used for severity scoring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TotalComplianceViolations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Integer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OSHA EDA + industry knowledge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Poisson draw conditioned on SOC + OSHA_Recordable_Incident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Mean=0.8 per year. Higher for construction-adjacent roles. Correlated with TotalSafetyIncidents (r~0.45)</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Compliance severity indicator</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TotalPreventableAccidents</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Integer</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OSHA EDA severity tier distribution</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Derived from TotalSafetyIncidents + severity tier draw</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OSHA EDA severity tiers: Minor (No Hospitalization)=1.7%, Moderate (Hospitalized)=80.6%, Severe (Permanent Injury)=17.6%. Note: OSHA dataset is severe-injury-only — scale down by BLS base rate for population-level modeling. Expected preventable: ~30% of incidents</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Preventable subset of TotalSafetyIncidents</w:t>
            </w:r>
          </w:p>
        </w:tc>
      </w:tr>
    </w:tbl>
    <w:p>
      <w:pPr>
        <w:spacing w:after="0" w:before="80"/>
      </w:pPr>
      <w:r>
        <w:t xml:space="preserve"/>
      </w:r>
    </w:p>
    <w:p>
      <w:pPr>
        <w:pStyle w:val="Heading2"/>
        <w:spacing w:after="80" w:before="280"/>
      </w:pPr>
      <w:r>
        <w:rPr>
          <w:rFonts w:ascii="Arial" w:cs="Arial" w:eastAsia="Arial" w:hAnsi="Arial"/>
          <w:b/>
          <w:bCs/>
          <w:color w:val="2E75B6"/>
          <w:sz w:val="26"/>
          <w:szCs w:val="26"/>
        </w:rPr>
        <w:t xml:space="preserve">4.3 Attendance &amp; Reliability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1500"/>
        <w:gridCol w:w="1500"/>
        <w:gridCol w:w="2200"/>
        <w:gridCol w:w="1860"/>
      </w:tblGrid>
      <w:tr>
        <w:trPr>
          <w:tblHeader/>
        </w:trPr>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Field</w:t>
            </w:r>
          </w:p>
        </w:tc>
        <w:tc>
          <w:tcPr>
            <w:tcW w:type="dxa" w:w="9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Type</w:t>
            </w:r>
          </w:p>
        </w:tc>
        <w:tc>
          <w:tcPr>
            <w:tcW w:type="dxa" w:w="1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Source</w:t>
            </w:r>
          </w:p>
        </w:tc>
        <w:tc>
          <w:tcPr>
            <w:tcW w:type="dxa" w:w="1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Method</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Parameters</w:t>
            </w:r>
          </w:p>
        </w:tc>
        <w:tc>
          <w:tcPr>
            <w:tcW w:type="dxa" w:w="18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CTGAN Role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UnscheduledAbsences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Integer (days/year)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BLS utility injury/absence data — NOT factory worker dataset (proxy was invalid)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Poisson draw conditioned on sub_health proxy + AttendanceRate from Phase 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BLS CPWR: utilities median 34 days MSD absence (severe cases). General absence: Use industry average of 4-6 unscheduled days/year for utility workers. Conditioned: AttendanceRate&lt;0.75 in Phase 2 → mean=9 days. AttendanceRate&gt;0.90 → mean=3 days. Poisson(lambda=5) as baseline</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Reliability signal — predicts early disengagement</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ProbationStatus</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Boolean</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Factory Worker EDA — bottom 25% early efficacy</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Bernoulli draw conditioned on Sorvex360PI_Score_AtCompletion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Factory EDA: Probation proxy rate=25.2% (bottom quartile early efficacy). Conditioned: PI_Score&lt;55 → probation rate=65%. PI_Score 55-70 → 25%. PI_Score&gt;70 → 8%</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Early performance flag</w:t>
            </w:r>
          </w:p>
        </w:tc>
      </w:tr>
    </w:tbl>
    <w:p>
      <w:pPr>
        <w:spacing w:after="0" w:before="80"/>
      </w:pPr>
      <w:r>
        <w:t xml:space="preserve"/>
      </w:r>
    </w:p>
    <w:p>
      <w:pPr>
        <w:pStyle w:val="Heading2"/>
        <w:spacing w:after="80" w:before="280"/>
      </w:pPr>
      <w:r>
        <w:rPr>
          <w:rFonts w:ascii="Arial" w:cs="Arial" w:eastAsia="Arial" w:hAnsi="Arial"/>
          <w:b/>
          <w:bCs/>
          <w:color w:val="2E75B6"/>
          <w:sz w:val="26"/>
          <w:szCs w:val="26"/>
        </w:rPr>
        <w:t xml:space="preserve">4.4 Testing &amp; Recertification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1500"/>
        <w:gridCol w:w="1500"/>
        <w:gridCol w:w="2200"/>
        <w:gridCol w:w="1860"/>
      </w:tblGrid>
      <w:tr>
        <w:trPr>
          <w:tblHeader/>
        </w:trPr>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Field</w:t>
            </w:r>
          </w:p>
        </w:tc>
        <w:tc>
          <w:tcPr>
            <w:tcW w:type="dxa" w:w="9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Type</w:t>
            </w:r>
          </w:p>
        </w:tc>
        <w:tc>
          <w:tcPr>
            <w:tcW w:type="dxa" w:w="1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Source</w:t>
            </w:r>
          </w:p>
        </w:tc>
        <w:tc>
          <w:tcPr>
            <w:tcW w:type="dxa" w:w="1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Method</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Parameters</w:t>
            </w:r>
          </w:p>
        </w:tc>
        <w:tc>
          <w:tcPr>
            <w:tcW w:type="dxa" w:w="18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CTGAN Role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RandomDrugScreens_Taken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Integer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Industry knowledge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Poisson draw by EmploymentType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DOT-regulated roles (CDL holders): mean=2.5/year. Non-DOT field roles: mean=1.2/year. Office/meter reading: mean=0.5/year</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Compliance activity count</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RandomDrugScreens_Passed</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Integer</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Derived from Taken + pass rate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Conditional on Taken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Pass rate=97.5% (industry standard). Passed = Taken with 2.5% failure probability per screen</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Compliance outcome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Recert_Safety_PassedFirstTry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Boolean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EEI SCL Model + SafetyCommitmentScore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Bernoulli conditioned on SafetyCommitmentScore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EEI SCL: experienced workers +30% safety maturity. SafetyCommitmentScore&gt;3.5: pass rate=88%. SafetyCommitmentScore&lt;2.5: pass rate=62%</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Safety competency indicator</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Recert_CPR_PassedFirstTry</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Boolean</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Industry knowledge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Bernoulli draw</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Rate=91% first-try pass. Lower for roles where CPR is less central to daily work</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Compliance competency indicator</w:t>
            </w:r>
          </w:p>
        </w:tc>
      </w:tr>
    </w:tbl>
    <w:p>
      <w:pPr>
        <w:spacing w:after="0" w:before="80"/>
      </w:pPr>
      <w:r>
        <w:t xml:space="preserve"/>
      </w:r>
    </w:p>
    <w:p>
      <w:pPr>
        <w:pStyle w:val="Heading2"/>
        <w:spacing w:after="80" w:before="280"/>
      </w:pPr>
      <w:r>
        <w:rPr>
          <w:rFonts w:ascii="Arial" w:cs="Arial" w:eastAsia="Arial" w:hAnsi="Arial"/>
          <w:b/>
          <w:bCs/>
          <w:color w:val="2E75B6"/>
          <w:sz w:val="26"/>
          <w:szCs w:val="26"/>
        </w:rPr>
        <w:t xml:space="preserve">4.5 Manager &amp; Peer Feedback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1500"/>
        <w:gridCol w:w="1500"/>
        <w:gridCol w:w="2200"/>
        <w:gridCol w:w="1860"/>
      </w:tblGrid>
      <w:tr>
        <w:trPr>
          <w:tblHeader/>
        </w:trPr>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Field</w:t>
            </w:r>
          </w:p>
        </w:tc>
        <w:tc>
          <w:tcPr>
            <w:tcW w:type="dxa" w:w="9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Type</w:t>
            </w:r>
          </w:p>
        </w:tc>
        <w:tc>
          <w:tcPr>
            <w:tcW w:type="dxa" w:w="1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Source</w:t>
            </w:r>
          </w:p>
        </w:tc>
        <w:tc>
          <w:tcPr>
            <w:tcW w:type="dxa" w:w="1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Method</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Parameters</w:t>
            </w:r>
          </w:p>
        </w:tc>
        <w:tc>
          <w:tcPr>
            <w:tcW w:type="dxa" w:w="18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CTGAN Role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ManagerFitFeedback_Score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Float (1-5)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Factory Worker EDA — recorded_efficacy normalized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Normal draw conditioned on Sorvex360PI_Score + TeamworkScore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Factory EDA: Mean=2.976, SD=0.560, Median=2.93, normal distribution. Map: PI_Score&gt;80 → mean=3.8, PI_Score 60-80 → mean=3.0, PI_Score&lt;60 → mean=2.3. Supervisor accuracy gap: actual vs recorded efficacy approximately normally distributed around 0</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Key outcome label — manager-observed performance</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PromotionWithin24Months</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Boolean</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Factory Worker EDA — top quartile efficacy + feat events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Bernoulli conditioned on ManagerFitFeedback_Score + TenureInDays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Factory EDA: Promotion proxy rate=20.8% (top quartile efficacy + at least 1 feat). Conditioned: ManagerFitFeedback_Score&gt;3.5 AND TenureInDays&gt;365: 35%. Score&lt;2.5: 5%</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Career progression outcome — AI target variable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Time_To_Competency_Months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Float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Factory Worker EDA adjusted for utility training timelines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Log-normal draw conditioned on CertificationsEarned + SimulationPerformance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Factory EDA median=0.17 months (reflects short observation window — not usable directly). Adjust using WA L&amp;I TotalTrainingHours / 160 hours per month. Line Installer: mean=43 months, Telecom: mean=25 months, Plant Operators: mean=36 months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Ramp-up speed indicator — important for employer ROI modeling</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7030A0"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CTGAN Training Strategy &amp; Conditioning Architecture</w:t>
            </w:r>
          </w:p>
        </w:tc>
      </w:tr>
    </w:tbl>
    <w:p>
      <w:pPr>
        <w:spacing w:after="0" w:before="80"/>
      </w:pPr>
      <w:r>
        <w:t xml:space="preserve"/>
      </w:r>
    </w:p>
    <w:p>
      <w:pPr>
        <w:spacing w:after="60" w:before="60"/>
      </w:pPr>
      <w:r>
        <w:rPr>
          <w:rFonts w:ascii="Arial" w:cs="Arial" w:eastAsia="Arial" w:hAnsi="Arial"/>
          <w:sz w:val="20"/>
          <w:szCs w:val="20"/>
        </w:rPr>
        <w:t xml:space="preserve">This section defines how CTGAN is configured to generate the 5,000 synthetic records, which fields serve as conditioning variables, and how the four phases are sequenced.</w:t>
      </w:r>
    </w:p>
    <w:p>
      <w:pPr>
        <w:spacing w:after="0" w:before="80"/>
      </w:pPr>
      <w:r>
        <w:t xml:space="preserve"/>
      </w:r>
    </w:p>
    <w:p>
      <w:pPr>
        <w:pStyle w:val="Heading2"/>
        <w:spacing w:after="80" w:before="280"/>
      </w:pPr>
      <w:r>
        <w:rPr>
          <w:rFonts w:ascii="Arial" w:cs="Arial" w:eastAsia="Arial" w:hAnsi="Arial"/>
          <w:b/>
          <w:bCs/>
          <w:color w:val="2E75B6"/>
          <w:sz w:val="26"/>
          <w:szCs w:val="26"/>
        </w:rPr>
        <w:t xml:space="preserve">5.1 Generation Sequence</w:t>
      </w:r>
    </w:p>
    <w:p>
      <w:pPr>
        <w:spacing w:after="60" w:before="60"/>
      </w:pPr>
      <w:r>
        <w:rPr>
          <w:rFonts w:ascii="Arial" w:cs="Arial" w:eastAsia="Arial" w:hAnsi="Arial"/>
          <w:sz w:val="20"/>
          <w:szCs w:val="20"/>
        </w:rPr>
        <w:t xml:space="preserve">Generate phases in order. Each phase conditions on prior phase outputs:</w:t>
      </w:r>
    </w:p>
    <w:p>
      <w:pPr>
        <w:pStyle w:val="ListParagraph"/>
        <w:numPr>
          <w:ilvl w:val="0"/>
          <w:numId w:val="2"/>
        </w:numPr>
        <w:spacing w:after="40" w:before="40"/>
      </w:pPr>
      <w:r>
        <w:rPr>
          <w:rFonts w:ascii="Arial" w:cs="Arial" w:eastAsia="Arial" w:hAnsi="Arial"/>
          <w:sz w:val="20"/>
          <w:szCs w:val="20"/>
        </w:rPr>
        <w:t xml:space="preserve">Step 1: Generate Phase 1 fields independently using defined distributions</w:t>
      </w:r>
    </w:p>
    <w:p>
      <w:pPr>
        <w:pStyle w:val="ListParagraph"/>
        <w:numPr>
          <w:ilvl w:val="0"/>
          <w:numId w:val="2"/>
        </w:numPr>
        <w:spacing w:after="40" w:before="40"/>
      </w:pPr>
      <w:r>
        <w:rPr>
          <w:rFonts w:ascii="Arial" w:cs="Arial" w:eastAsia="Arial" w:hAnsi="Arial"/>
          <w:sz w:val="20"/>
          <w:szCs w:val="20"/>
        </w:rPr>
        <w:t xml:space="preserve">Step 2: Derive Sorvex360PI_Score from Phase 1 composite formula</w:t>
      </w:r>
    </w:p>
    <w:p>
      <w:pPr>
        <w:pStyle w:val="ListParagraph"/>
        <w:numPr>
          <w:ilvl w:val="0"/>
          <w:numId w:val="2"/>
        </w:numPr>
        <w:spacing w:after="40" w:before="40"/>
      </w:pPr>
      <w:r>
        <w:rPr>
          <w:rFonts w:ascii="Arial" w:cs="Arial" w:eastAsia="Arial" w:hAnsi="Arial"/>
          <w:sz w:val="20"/>
          <w:szCs w:val="20"/>
        </w:rPr>
        <w:t xml:space="preserve">Step 3: Generate Phase 2 fields conditioned on Phase 1 (especially PI_Score, EducationLevel, SOC)</w:t>
      </w:r>
    </w:p>
    <w:p>
      <w:pPr>
        <w:pStyle w:val="ListParagraph"/>
        <w:numPr>
          <w:ilvl w:val="0"/>
          <w:numId w:val="2"/>
        </w:numPr>
        <w:spacing w:after="40" w:before="40"/>
      </w:pPr>
      <w:r>
        <w:rPr>
          <w:rFonts w:ascii="Arial" w:cs="Arial" w:eastAsia="Arial" w:hAnsi="Arial"/>
          <w:sz w:val="20"/>
          <w:szCs w:val="20"/>
        </w:rPr>
        <w:t xml:space="preserve">Step 4: Filter to Completed=True records for Phase 3 (expected ~55% of 5,000 = 2,750 placement records)</w:t>
      </w:r>
    </w:p>
    <w:p>
      <w:pPr>
        <w:pStyle w:val="ListParagraph"/>
        <w:numPr>
          <w:ilvl w:val="0"/>
          <w:numId w:val="2"/>
        </w:numPr>
        <w:spacing w:after="40" w:before="40"/>
      </w:pPr>
      <w:r>
        <w:rPr>
          <w:rFonts w:ascii="Arial" w:cs="Arial" w:eastAsia="Arial" w:hAnsi="Arial"/>
          <w:sz w:val="20"/>
          <w:szCs w:val="20"/>
        </w:rPr>
        <w:t xml:space="preserve">Step 5: Generate Phase 3 fields conditioned on Phase 1 + Phase 2</w:t>
      </w:r>
    </w:p>
    <w:p>
      <w:pPr>
        <w:pStyle w:val="ListParagraph"/>
        <w:numPr>
          <w:ilvl w:val="0"/>
          <w:numId w:val="2"/>
        </w:numPr>
        <w:spacing w:after="40" w:before="40"/>
      </w:pPr>
      <w:r>
        <w:rPr>
          <w:rFonts w:ascii="Arial" w:cs="Arial" w:eastAsia="Arial" w:hAnsi="Arial"/>
          <w:sz w:val="20"/>
          <w:szCs w:val="20"/>
        </w:rPr>
        <w:t xml:space="preserve">Step 6: Generate Phase 4 fields conditioned on all prior phases</w:t>
      </w:r>
    </w:p>
    <w:p>
      <w:pPr>
        <w:spacing w:after="0" w:before="80"/>
      </w:pPr>
      <w:r>
        <w:t xml:space="preserve"/>
      </w:r>
    </w:p>
    <w:p>
      <w:pPr>
        <w:pStyle w:val="Heading2"/>
        <w:spacing w:after="80" w:before="280"/>
      </w:pPr>
      <w:r>
        <w:rPr>
          <w:rFonts w:ascii="Arial" w:cs="Arial" w:eastAsia="Arial" w:hAnsi="Arial"/>
          <w:b/>
          <w:bCs/>
          <w:color w:val="2E75B6"/>
          <w:sz w:val="26"/>
          <w:szCs w:val="26"/>
        </w:rPr>
        <w:t xml:space="preserve">5.2 Key CTGAN Conditioning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Variable</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Conditions</w:t>
            </w:r>
          </w:p>
        </w:tc>
        <w:tc>
          <w:tcPr>
            <w:tcW w:type="dxa" w:w="5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Fields It Drives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SpecificTradeInterest (SOC)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Phase 1</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All score means, CDL rate, TotalTrainingHours, PhysicalTestResult, LOTO, TenureInDays SOC adjustment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Age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Phase 1</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LongestJobTenure, CognitiveScore (-5% age 50+), PhysicalTestResult (-8% age 50+), TenureInDays by age band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EducationLevel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Phase 1</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CognitiveScore (+25% Associate Tech), PassedRequiredModules rate, TenureInDays by education band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Sorvex360PI_Score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Phase 1 output</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AttendanceRate, PassedRequiredModules, SimulationPerformance, Completed, ProbationStatus, ManagerFitFeedback_Score, PromotionWithin24Months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AttendanceRate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Phase 2</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Completed, DropoutReason, UnscheduledAbsences, ReliabilityScore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Completed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Phase 2</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Gates Phase 3 generation. Also conditions TenureInDays, ManagerFitFeedback_Score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SafetyCommitmentScore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Phase 2</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OSHA_Recordable_Incident rate, TotalSafetyIncidents, Recert_Safety_PassedFirstTry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UnionStatus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Phase 3</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TenureInDays (+35%), Apprenticeship_Registered, wage bands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TenureInDays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Phase 4</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All milestone flags, OSHA_Recordable_Incident (experience effect), PromotionWithin24Months</w:t>
            </w:r>
          </w:p>
        </w:tc>
      </w:tr>
    </w:tbl>
    <w:p>
      <w:pPr>
        <w:spacing w:after="0" w:before="80"/>
      </w:pPr>
      <w:r>
        <w:t xml:space="preserve"/>
      </w:r>
    </w:p>
    <w:p>
      <w:pPr>
        <w:pStyle w:val="Heading2"/>
        <w:spacing w:after="80" w:before="280"/>
      </w:pPr>
      <w:r>
        <w:rPr>
          <w:rFonts w:ascii="Arial" w:cs="Arial" w:eastAsia="Arial" w:hAnsi="Arial"/>
          <w:b/>
          <w:bCs/>
          <w:color w:val="2E75B6"/>
          <w:sz w:val="26"/>
          <w:szCs w:val="26"/>
        </w:rPr>
        <w:t xml:space="preserve">5.3 Correlation Structure to Preserve</w:t>
      </w:r>
    </w:p>
    <w:p>
      <w:pPr>
        <w:spacing w:after="60" w:before="60"/>
      </w:pPr>
      <w:r>
        <w:rPr>
          <w:rFonts w:ascii="Arial" w:cs="Arial" w:eastAsia="Arial" w:hAnsi="Arial"/>
          <w:sz w:val="20"/>
          <w:szCs w:val="20"/>
        </w:rPr>
        <w:t xml:space="preserve">These correlations must be present in the final synthetic dataset for it to be statistically defensible. Validate after generation:</w:t>
      </w:r>
    </w:p>
    <w:p>
      <w:pPr>
        <w:pStyle w:val="ListParagraph"/>
        <w:numPr>
          <w:ilvl w:val="0"/>
          <w:numId w:val="2"/>
        </w:numPr>
        <w:spacing w:after="40" w:before="40"/>
      </w:pPr>
      <w:r>
        <w:rPr>
          <w:rFonts w:ascii="Arial" w:cs="Arial" w:eastAsia="Arial" w:hAnsi="Arial"/>
          <w:sz w:val="20"/>
          <w:szCs w:val="20"/>
        </w:rPr>
        <w:t xml:space="preserve">CognitiveScore ↔ Sorvex360PI_Score: r &gt; 0.55 (cognitive is 30% weight)</w:t>
      </w:r>
    </w:p>
    <w:p>
      <w:pPr>
        <w:pStyle w:val="ListParagraph"/>
        <w:numPr>
          <w:ilvl w:val="0"/>
          <w:numId w:val="2"/>
        </w:numPr>
        <w:spacing w:after="40" w:before="40"/>
      </w:pPr>
      <w:r>
        <w:rPr>
          <w:rFonts w:ascii="Arial" w:cs="Arial" w:eastAsia="Arial" w:hAnsi="Arial"/>
          <w:sz w:val="20"/>
          <w:szCs w:val="20"/>
        </w:rPr>
        <w:t xml:space="preserve">AttendanceRate ↔ Completed: point-biserial r &gt; 0.35</w:t>
      </w:r>
    </w:p>
    <w:p>
      <w:pPr>
        <w:pStyle w:val="ListParagraph"/>
        <w:numPr>
          <w:ilvl w:val="0"/>
          <w:numId w:val="2"/>
        </w:numPr>
        <w:spacing w:after="40" w:before="40"/>
      </w:pPr>
      <w:r>
        <w:rPr>
          <w:rFonts w:ascii="Arial" w:cs="Arial" w:eastAsia="Arial" w:hAnsi="Arial"/>
          <w:sz w:val="20"/>
          <w:szCs w:val="20"/>
        </w:rPr>
        <w:t xml:space="preserve">Sorvex360PI_Score ↔ ManagerFitFeedback_Score: r &gt; 0.30 (SJT validity literature)</w:t>
      </w:r>
    </w:p>
    <w:p>
      <w:pPr>
        <w:pStyle w:val="ListParagraph"/>
        <w:numPr>
          <w:ilvl w:val="0"/>
          <w:numId w:val="2"/>
        </w:numPr>
        <w:spacing w:after="40" w:before="40"/>
      </w:pPr>
      <w:r>
        <w:rPr>
          <w:rFonts w:ascii="Arial" w:cs="Arial" w:eastAsia="Arial" w:hAnsi="Arial"/>
          <w:sz w:val="20"/>
          <w:szCs w:val="20"/>
        </w:rPr>
        <w:t xml:space="preserve">TenureInDays ↔ Tenure_1Year: r &gt; 0.85 (derived relationship)</w:t>
      </w:r>
    </w:p>
    <w:p>
      <w:pPr>
        <w:pStyle w:val="ListParagraph"/>
        <w:numPr>
          <w:ilvl w:val="0"/>
          <w:numId w:val="2"/>
        </w:numPr>
        <w:spacing w:after="40" w:before="40"/>
      </w:pPr>
      <w:r>
        <w:rPr>
          <w:rFonts w:ascii="Arial" w:cs="Arial" w:eastAsia="Arial" w:hAnsi="Arial"/>
          <w:sz w:val="20"/>
          <w:szCs w:val="20"/>
        </w:rPr>
        <w:t xml:space="preserve">SafetyCommitmentScore ↔ OSHA_Recordable_Incident: r &lt; -0.25 (inverse)</w:t>
      </w:r>
    </w:p>
    <w:p>
      <w:pPr>
        <w:pStyle w:val="ListParagraph"/>
        <w:numPr>
          <w:ilvl w:val="0"/>
          <w:numId w:val="2"/>
        </w:numPr>
        <w:spacing w:after="40" w:before="40"/>
      </w:pPr>
      <w:r>
        <w:rPr>
          <w:rFonts w:ascii="Arial" w:cs="Arial" w:eastAsia="Arial" w:hAnsi="Arial"/>
          <w:sz w:val="20"/>
          <w:szCs w:val="20"/>
        </w:rPr>
        <w:t xml:space="preserve">Age ↔ LongestJobTenure: r &gt; 0.40 (BLS age-tenure tables)</w:t>
      </w:r>
    </w:p>
    <w:p>
      <w:pPr>
        <w:pStyle w:val="ListParagraph"/>
        <w:numPr>
          <w:ilvl w:val="0"/>
          <w:numId w:val="2"/>
        </w:numPr>
        <w:spacing w:after="40" w:before="40"/>
      </w:pPr>
      <w:r>
        <w:rPr>
          <w:rFonts w:ascii="Arial" w:cs="Arial" w:eastAsia="Arial" w:hAnsi="Arial"/>
          <w:sz w:val="20"/>
          <w:szCs w:val="20"/>
        </w:rPr>
        <w:t xml:space="preserve">EducationLevel (Associate+) ↔ CognitiveScore: mean difference &gt; 8 points</w:t>
      </w:r>
    </w:p>
    <w:p>
      <w:pPr>
        <w:pStyle w:val="ListParagraph"/>
        <w:numPr>
          <w:ilvl w:val="0"/>
          <w:numId w:val="2"/>
        </w:numPr>
        <w:spacing w:after="40" w:before="40"/>
      </w:pPr>
      <w:r>
        <w:rPr>
          <w:rFonts w:ascii="Arial" w:cs="Arial" w:eastAsia="Arial" w:hAnsi="Arial"/>
          <w:sz w:val="20"/>
          <w:szCs w:val="20"/>
        </w:rPr>
        <w:t xml:space="preserve">UnionStatus ↔ TenureInDays: union mean &gt; non-union mean by 35%</w:t>
      </w:r>
    </w:p>
    <w:p>
      <w:pPr>
        <w:spacing w:after="0" w:before="80"/>
      </w:pPr>
      <w:r>
        <w:t xml:space="preserve"/>
      </w:r>
    </w:p>
    <w:p>
      <w:pPr>
        <w:pStyle w:val="Heading2"/>
        <w:spacing w:after="80" w:before="280"/>
      </w:pPr>
      <w:r>
        <w:rPr>
          <w:rFonts w:ascii="Arial" w:cs="Arial" w:eastAsia="Arial" w:hAnsi="Arial"/>
          <w:b/>
          <w:bCs/>
          <w:color w:val="2E75B6"/>
          <w:sz w:val="26"/>
          <w:szCs w:val="26"/>
        </w:rPr>
        <w:t xml:space="preserve">5.4 Validation Checks</w:t>
      </w:r>
    </w:p>
    <w:p>
      <w:pPr>
        <w:spacing w:after="60" w:before="60"/>
      </w:pPr>
      <w:r>
        <w:rPr>
          <w:rFonts w:ascii="Arial" w:cs="Arial" w:eastAsia="Arial" w:hAnsi="Arial"/>
          <w:sz w:val="20"/>
          <w:szCs w:val="20"/>
        </w:rPr>
        <w:t xml:space="preserve">Run these checks after generating the full 5,000-record dataset:</w:t>
      </w:r>
    </w:p>
    <w:p>
      <w:pPr>
        <w:pStyle w:val="ListParagraph"/>
        <w:numPr>
          <w:ilvl w:val="0"/>
          <w:numId w:val="2"/>
        </w:numPr>
        <w:spacing w:after="40" w:before="40"/>
      </w:pPr>
      <w:r>
        <w:rPr>
          <w:rFonts w:ascii="Arial" w:cs="Arial" w:eastAsia="Arial" w:hAnsi="Arial"/>
          <w:sz w:val="20"/>
          <w:szCs w:val="20"/>
        </w:rPr>
        <w:t xml:space="preserve">Demographic distributions match USEER 2025 (gender, race/ethnicity within ±3%)</w:t>
      </w:r>
    </w:p>
    <w:p>
      <w:pPr>
        <w:pStyle w:val="ListParagraph"/>
        <w:numPr>
          <w:ilvl w:val="0"/>
          <w:numId w:val="2"/>
        </w:numPr>
        <w:spacing w:after="40" w:before="40"/>
      </w:pPr>
      <w:r>
        <w:rPr>
          <w:rFonts w:ascii="Arial" w:cs="Arial" w:eastAsia="Arial" w:hAnsi="Arial"/>
          <w:sz w:val="20"/>
          <w:szCs w:val="20"/>
        </w:rPr>
        <w:t xml:space="preserve">SOC distribution matches target weights (±2%)</w:t>
      </w:r>
    </w:p>
    <w:p>
      <w:pPr>
        <w:pStyle w:val="ListParagraph"/>
        <w:numPr>
          <w:ilvl w:val="0"/>
          <w:numId w:val="2"/>
        </w:numPr>
        <w:spacing w:after="40" w:before="40"/>
      </w:pPr>
      <w:r>
        <w:rPr>
          <w:rFonts w:ascii="Arial" w:cs="Arial" w:eastAsia="Arial" w:hAnsi="Arial"/>
          <w:sz w:val="20"/>
          <w:szCs w:val="20"/>
        </w:rPr>
        <w:t xml:space="preserve">OSHA_Recordable_Incident rate is 1-3% of total records (BLS 1.9/100 anchor)</w:t>
      </w:r>
    </w:p>
    <w:p>
      <w:pPr>
        <w:pStyle w:val="ListParagraph"/>
        <w:numPr>
          <w:ilvl w:val="0"/>
          <w:numId w:val="2"/>
        </w:numPr>
        <w:spacing w:after="40" w:before="40"/>
      </w:pPr>
      <w:r>
        <w:rPr>
          <w:rFonts w:ascii="Arial" w:cs="Arial" w:eastAsia="Arial" w:hAnsi="Arial"/>
          <w:sz w:val="20"/>
          <w:szCs w:val="20"/>
        </w:rPr>
        <w:t xml:space="preserve">Tenure_1Year rate is 70-85% (BLS 77.8% baseline)</w:t>
      </w:r>
    </w:p>
    <w:p>
      <w:pPr>
        <w:pStyle w:val="ListParagraph"/>
        <w:numPr>
          <w:ilvl w:val="0"/>
          <w:numId w:val="2"/>
        </w:numPr>
        <w:spacing w:after="40" w:before="40"/>
      </w:pPr>
      <w:r>
        <w:rPr>
          <w:rFonts w:ascii="Arial" w:cs="Arial" w:eastAsia="Arial" w:hAnsi="Arial"/>
          <w:sz w:val="20"/>
          <w:szCs w:val="20"/>
        </w:rPr>
        <w:t xml:space="preserve">PromotionWithin24Months rate is 18-25% (Factory EDA 20.8% anchor)</w:t>
      </w:r>
    </w:p>
    <w:p>
      <w:pPr>
        <w:pStyle w:val="ListParagraph"/>
        <w:numPr>
          <w:ilvl w:val="0"/>
          <w:numId w:val="2"/>
        </w:numPr>
        <w:spacing w:after="40" w:before="40"/>
      </w:pPr>
      <w:r>
        <w:rPr>
          <w:rFonts w:ascii="Arial" w:cs="Arial" w:eastAsia="Arial" w:hAnsi="Arial"/>
          <w:sz w:val="20"/>
          <w:szCs w:val="20"/>
        </w:rPr>
        <w:t xml:space="preserve">ProbationStatus rate is 22-28% (Factory EDA 25.2% anchor)</w:t>
      </w:r>
    </w:p>
    <w:p>
      <w:pPr>
        <w:pStyle w:val="ListParagraph"/>
        <w:numPr>
          <w:ilvl w:val="0"/>
          <w:numId w:val="2"/>
        </w:numPr>
        <w:spacing w:after="40" w:before="40"/>
      </w:pPr>
      <w:r>
        <w:rPr>
          <w:rFonts w:ascii="Arial" w:cs="Arial" w:eastAsia="Arial" w:hAnsi="Arial"/>
          <w:sz w:val="20"/>
          <w:szCs w:val="20"/>
        </w:rPr>
        <w:t xml:space="preserve">CognitiveScore by SOC matches role-specific means from ONET analysis (±5 points)</w:t>
      </w:r>
    </w:p>
    <w:p>
      <w:pPr>
        <w:pStyle w:val="ListParagraph"/>
        <w:numPr>
          <w:ilvl w:val="0"/>
          <w:numId w:val="2"/>
        </w:numPr>
        <w:spacing w:after="40" w:before="40"/>
      </w:pPr>
      <w:r>
        <w:rPr>
          <w:rFonts w:ascii="Arial" w:cs="Arial" w:eastAsia="Arial" w:hAnsi="Arial"/>
          <w:sz w:val="20"/>
          <w:szCs w:val="20"/>
        </w:rPr>
        <w:t xml:space="preserve">No impossible combinations: Completed=False AND Phase 3 record exists</w:t>
      </w:r>
    </w:p>
    <w:p>
      <w:pPr>
        <w:pStyle w:val="ListParagraph"/>
        <w:numPr>
          <w:ilvl w:val="0"/>
          <w:numId w:val="2"/>
        </w:numPr>
        <w:spacing w:after="40" w:before="40"/>
      </w:pPr>
      <w:r>
        <w:rPr>
          <w:rFonts w:ascii="Arial" w:cs="Arial" w:eastAsia="Arial" w:hAnsi="Arial"/>
          <w:sz w:val="20"/>
          <w:szCs w:val="20"/>
        </w:rPr>
        <w:t xml:space="preserve">No impossible combinations: CDL_Status=False AND RoleRequires_CDL=True without override</w:t>
      </w:r>
    </w:p>
    <w:p>
      <w:pPr>
        <w:pStyle w:val="ListParagraph"/>
        <w:numPr>
          <w:ilvl w:val="0"/>
          <w:numId w:val="2"/>
        </w:numPr>
        <w:spacing w:after="40" w:before="40"/>
      </w:pPr>
      <w:r>
        <w:rPr>
          <w:rFonts w:ascii="Arial" w:cs="Arial" w:eastAsia="Arial" w:hAnsi="Arial"/>
          <w:sz w:val="20"/>
          <w:szCs w:val="20"/>
        </w:rPr>
        <w:t xml:space="preserve">Correlation matrix matches target structure (Section 5.3)</w:t>
      </w:r>
    </w:p>
    <w:p>
      <w:r>
        <w:br w:type="page"/>
      </w:r>
    </w:p>
    <w:p>
      <w:pPr>
        <w:pStyle w:val="Heading1"/>
        <w:pBdr>
          <w:bottom w:val="single" w:color="2E75B6" w:sz="6" w:space="1"/>
        </w:pBdr>
        <w:spacing w:after="120" w:before="360"/>
      </w:pPr>
      <w:r>
        <w:rPr>
          <w:rFonts w:ascii="Arial" w:cs="Arial" w:eastAsia="Arial" w:hAnsi="Arial"/>
          <w:b/>
          <w:bCs/>
          <w:color w:val="1B3A6B"/>
          <w:sz w:val="32"/>
          <w:szCs w:val="32"/>
        </w:rPr>
        <w:t xml:space="preserve">Appendix — Key Statistical Parameters Quick Reference</w:t>
      </w:r>
    </w:p>
    <w:p>
      <w:pPr>
        <w:spacing w:after="0" w:before="80"/>
      </w:pPr>
      <w:r>
        <w:t xml:space="preserve"/>
      </w:r>
    </w:p>
    <w:p>
      <w:pPr>
        <w:pStyle w:val="Heading2"/>
        <w:spacing w:after="80" w:before="280"/>
      </w:pPr>
      <w:r>
        <w:rPr>
          <w:rFonts w:ascii="Arial" w:cs="Arial" w:eastAsia="Arial" w:hAnsi="Arial"/>
          <w:b/>
          <w:bCs/>
          <w:color w:val="2E75B6"/>
          <w:sz w:val="26"/>
          <w:szCs w:val="26"/>
        </w:rPr>
        <w:t xml:space="preserve">A. Score Distribution Parameters by SOC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40"/>
        <w:gridCol w:w="1840"/>
        <w:gridCol w:w="1840"/>
        <w:gridCol w:w="1840"/>
      </w:tblGrid>
      <w:tr>
        <w:trPr>
          <w:tblHeader/>
        </w:trPr>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SOC Role</w:t>
            </w:r>
          </w:p>
        </w:tc>
        <w:tc>
          <w:tcPr>
            <w:tcW w:type="dxa" w:w="18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Cognitive Mean/SD</w:t>
            </w:r>
          </w:p>
        </w:tc>
        <w:tc>
          <w:tcPr>
            <w:tcW w:type="dxa" w:w="18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Simulation Mean/SD</w:t>
            </w:r>
          </w:p>
        </w:tc>
        <w:tc>
          <w:tcPr>
            <w:tcW w:type="dxa" w:w="18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Behavioral Mean/SD</w:t>
            </w:r>
          </w:p>
        </w:tc>
        <w:tc>
          <w:tcPr>
            <w:tcW w:type="dxa" w:w="18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Situational Mean/SD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Meter Reader (43-5041)</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63 / 8</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58 / 9</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70 / 8</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65 / 8</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Telecom (49-2022)</w:t>
            </w:r>
          </w:p>
        </w:tc>
        <w:tc>
          <w:tcPr>
            <w:tcW w:type="dxa" w:w="1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68 / 9</w:t>
            </w:r>
          </w:p>
        </w:tc>
        <w:tc>
          <w:tcPr>
            <w:tcW w:type="dxa" w:w="1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72 / 9</w:t>
            </w:r>
          </w:p>
        </w:tc>
        <w:tc>
          <w:tcPr>
            <w:tcW w:type="dxa" w:w="1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67 / 9</w:t>
            </w:r>
          </w:p>
        </w:tc>
        <w:tc>
          <w:tcPr>
            <w:tcW w:type="dxa" w:w="1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70 / 8</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Line Installer (49-9051)</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67 / 9</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71 / 9</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68 / 9</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67 / 9</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Power Plant Op (51-8013)</w:t>
            </w:r>
          </w:p>
        </w:tc>
        <w:tc>
          <w:tcPr>
            <w:tcW w:type="dxa" w:w="1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75 / 8</w:t>
            </w:r>
          </w:p>
        </w:tc>
        <w:tc>
          <w:tcPr>
            <w:tcW w:type="dxa" w:w="1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76 / 8</w:t>
            </w:r>
          </w:p>
        </w:tc>
        <w:tc>
          <w:tcPr>
            <w:tcW w:type="dxa" w:w="1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72 / 8</w:t>
            </w:r>
          </w:p>
        </w:tc>
        <w:tc>
          <w:tcPr>
            <w:tcW w:type="dxa" w:w="1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73 / 8</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Water Treatment (51-8031)</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72 / 8</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74 / 8</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71 / 8</w:t>
            </w:r>
          </w:p>
        </w:tc>
        <w:tc>
          <w:tcPr>
            <w:tcW w:type="dxa" w:w="1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72 / 8</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Gas Plant Op (51-8092)</w:t>
            </w:r>
          </w:p>
        </w:tc>
        <w:tc>
          <w:tcPr>
            <w:tcW w:type="dxa" w:w="1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73 / 8</w:t>
            </w:r>
          </w:p>
        </w:tc>
        <w:tc>
          <w:tcPr>
            <w:tcW w:type="dxa" w:w="1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75 / 8</w:t>
            </w:r>
          </w:p>
        </w:tc>
        <w:tc>
          <w:tcPr>
            <w:tcW w:type="dxa" w:w="1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73 / 8</w:t>
            </w:r>
          </w:p>
        </w:tc>
        <w:tc>
          <w:tcPr>
            <w:tcW w:type="dxa" w:w="18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72 / 8</w:t>
            </w:r>
          </w:p>
        </w:tc>
      </w:tr>
    </w:tbl>
    <w:p>
      <w:pPr>
        <w:spacing w:after="0" w:before="80"/>
      </w:pPr>
      <w:r>
        <w:t xml:space="preserve"/>
      </w:r>
    </w:p>
    <w:p>
      <w:pPr>
        <w:pStyle w:val="Heading2"/>
        <w:spacing w:after="80" w:before="280"/>
      </w:pPr>
      <w:r>
        <w:rPr>
          <w:rFonts w:ascii="Arial" w:cs="Arial" w:eastAsia="Arial" w:hAnsi="Arial"/>
          <w:b/>
          <w:bCs/>
          <w:color w:val="2E75B6"/>
          <w:sz w:val="26"/>
          <w:szCs w:val="26"/>
        </w:rPr>
        <w:t xml:space="preserve">B. OSHA EDA Results (3,295 Utility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Metric</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Value</w:t>
            </w:r>
          </w:p>
        </w:tc>
        <w:tc>
          <w:tcPr>
            <w:tcW w:type="dxa" w:w="4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Application in Sorvex 360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Hospitalization rate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89.7%</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Severity within OSHA_Recordable_Incident=True records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Amputation rate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17.5%</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Severe tier of TotalPreventableAccidents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Loss of eye rate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0.12%</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Extreme severity flag</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Fall events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34.8%</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Top event category — TotalComplianceViolations context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Struck By events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16.9%</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Second event category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Electrical events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14.1%</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Utility-specific risk — higher weight for electrical SOCs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Top injury: Fractures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874 records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Most common severe injury type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Top injury: Amputations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481 records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Second most common severe injury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NAICS 221x records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~500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Core utility operations workers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NAICS 2371x records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~2,700</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Utility construction/field crews</w:t>
            </w:r>
          </w:p>
        </w:tc>
      </w:tr>
    </w:tbl>
    <w:p>
      <w:pPr>
        <w:spacing w:after="0" w:before="80"/>
      </w:pPr>
      <w:r>
        <w:t xml:space="preserve"/>
      </w:r>
    </w:p>
    <w:p>
      <w:pPr>
        <w:pStyle w:val="Heading2"/>
        <w:spacing w:after="80" w:before="280"/>
      </w:pPr>
      <w:r>
        <w:rPr>
          <w:rFonts w:ascii="Arial" w:cs="Arial" w:eastAsia="Arial" w:hAnsi="Arial"/>
          <w:b/>
          <w:bCs/>
          <w:color w:val="2E75B6"/>
          <w:sz w:val="26"/>
          <w:szCs w:val="26"/>
        </w:rPr>
        <w:t xml:space="preserve">C. Factory Worker EDA Results (687 Workers)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Metric</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Value</w:t>
            </w:r>
          </w:p>
        </w:tc>
        <w:tc>
          <w:tcPr>
            <w:tcW w:type="dxa" w:w="4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Application in Sorvex 360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ManagerFitFeedback_Score mean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2.976 (1-5 scale)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Phase 4 manager score distribution anchor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ManagerFitFeedback_Score SD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0.560</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Normal distribution SD parameter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Promotion proxy rate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20.8%</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PromotionWithin24Months Bernoulli rate anchor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Probation proxy rate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25.2%</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ProbationStatus Bernoulli rate anchor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Trait distribution mean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~0.72 (0-1 scale)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Beta(a=8, b=2.2) for all trait fields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Dexterity -&gt; feat_rate 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0.17</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Strongest trait-outcome correlation</w:t>
            </w:r>
          </w:p>
        </w:tc>
      </w:tr>
      <w:tr>
        <w:tc>
          <w:tcPr>
            <w:tcW w:type="dxa" w:w="3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Absence rate (INVALID)</w:t>
            </w:r>
          </w:p>
        </w:tc>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96% — data artifact</w:t>
            </w:r>
          </w:p>
        </w:tc>
        <w:tc>
          <w:tcPr>
            <w:tcW w:type="dxa" w:w="4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DO NOT USE — use BLS anchor of 4-6 days/year instead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Efficacy distribution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Right-skewed, 0-2 range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Shapes ManagerFitFeedback_Score distribution</w:t>
            </w:r>
          </w:p>
        </w:tc>
      </w:tr>
    </w:tbl>
    <w:p>
      <w:pPr>
        <w:spacing w:after="0" w:before="80"/>
      </w:pPr>
      <w:r>
        <w:t xml:space="preserve"/>
      </w:r>
    </w:p>
    <w:p>
      <w:pPr>
        <w:pStyle w:val="Heading2"/>
        <w:spacing w:after="80" w:before="280"/>
      </w:pPr>
      <w:r>
        <w:rPr>
          <w:rFonts w:ascii="Arial" w:cs="Arial" w:eastAsia="Arial" w:hAnsi="Arial"/>
          <w:b/>
          <w:bCs/>
          <w:color w:val="2E75B6"/>
          <w:sz w:val="26"/>
          <w:szCs w:val="26"/>
        </w:rPr>
        <w:t xml:space="preserve">D. BLS Key Anchors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Metric</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Value</w:t>
            </w:r>
          </w:p>
        </w:tc>
        <w:tc>
          <w:tcPr>
            <w:tcW w:type="dxa" w:w="4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Field Applied To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Utilities median tenure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4.9 years (2024)</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TenureInDays baseline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Install/Maint/Repair median tenure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3.9 years (2024)</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TenureInDays for field SOCs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EY tenure decline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-36.8% over decade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Context for tenure distribution shape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Union rate utilities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~22% (2024 avg)</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UnionStatus Bernoulli rate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OSHA recordable rate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1.9 per 100 FTE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OSHA_Recordable_Incident population rate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Workers leaving &lt;12 months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22.2%</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Tenure_1Year false rate anchor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CPWR MSD days away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34 days median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Injury severity context for safety fields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TCU avg worker age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43.1 years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Age distribution mean anchor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CEWD aptitude pass rate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50%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CognitiveScore passing threshold calibration</w:t>
            </w:r>
          </w:p>
        </w:tc>
      </w:tr>
    </w:tbl>
    <w:p>
      <w:pPr>
        <w:spacing w:after="0" w:before="160"/>
      </w:pPr>
      <w:r>
        <w:t xml:space="preserve"/>
      </w:r>
    </w:p>
    <w:p>
      <w:pPr>
        <w:pBdr>
          <w:top w:val="single" w:color="2E75B6" w:sz="6" w:space="1"/>
        </w:pBdr>
        <w:jc w:val="center"/>
      </w:pPr>
      <w:r>
        <w:rPr>
          <w:rFonts w:ascii="Arial" w:cs="Arial" w:eastAsia="Arial" w:hAnsi="Arial"/>
          <w:i/>
          <w:iCs/>
          <w:color w:val="595959"/>
          <w:sz w:val="16"/>
          <w:szCs w:val="16"/>
        </w:rPr>
        <w:t xml:space="preserve">Sorvex 360 Synthetic Pipeline Blueprint v1.0  |  Confidential  |  April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3A6B"/>
      <w:sz w:val="32"/>
      <w:szCs w:val="32"/>
    </w:rPr>
  </w:style>
  <w:style w:type="paragraph" w:styleId="Heading2">
    <w:name w:val="Heading 2"/>
    <w:basedOn w:val="Normal"/>
    <w:next w:val="Normal"/>
    <w:qFormat/>
    <w:pPr>
      <w:spacing w:after="8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200"/>
      <w:outlineLvl w:val="2"/>
    </w:pPr>
    <w:rPr>
      <w:rFonts w:ascii="Arial" w:cs="Arial" w:eastAsia="Arial" w:hAnsi="Arial"/>
      <w:b/>
      <w:bCs/>
      <w:color w:val="1F7A8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2026-04-02T18:14:50.806Z</dcterms:created>
  <dcterms:modified xsi:type="dcterms:W3CDTF">2026-04-02T18:14:50.807Z</dcterms:modified>
</cp:coreProperties>
</file>

<file path=docProps/custom.xml><?xml version="1.0" encoding="utf-8"?>
<Properties xmlns="http://schemas.openxmlformats.org/officeDocument/2006/custom-properties" xmlns:vt="http://schemas.openxmlformats.org/officeDocument/2006/docPropsVTypes"/>
</file>