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  <w:jc w:val="center"/>
      </w:pPr>
      <w:r>
        <w:rPr>
          <w:b/>
          <w:bCs/>
          <w:color w:val="17365D"/>
          <w:sz w:val="34"/>
          <w:szCs w:val="34"/>
        </w:rPr>
        <w:t xml:space="preserve">Автоматизированная бесконтактная оценка размеров и формы хлебобулочных изделий по RGB-изображениям</w:t>
      </w:r>
    </w:p>
    <w:p>
      <w:pPr>
        <w:pStyle w:val="Heading1"/>
        <w:keepNext/>
      </w:pPr>
      <w:r>
        <w:t xml:space="preserve">Аннотация</w:t>
      </w:r>
    </w:p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Разработан воспроизводимый pipeline бесконтактной оценки ширины, высоты и количественных характеристик формы хлебобулочных изделий по RGB-изображениям. До моделирования выполнен аудит набора Mendeley Data v1 (DOI 10.17632/f663p7c89m.1). Из 173 строк CSV пригодными признаны 171 однозначно сопоставленных физических образцов; конфликтующие записи исключены без ручного исправления, после чего зафиксировано групповое разбиение 70/15/15. Сегментация объединяет Gaussian blur, порог Отсу, морфологические операции и контроль контура. Линейная pixel-to-mm калибровка сравнена с линейной, ridge-, Random Forest- и HistGradientBoosting-регрессией по морфологическим признакам. По validation MAE выбран метод hist_gradient_boosting. На 26 независимых тестовых образцах MAE ширины составила 2.10, MAE высоты — 2.40, RMSE — 3.12 и 3.02, R² — 0.694 и 0.847 соответственно в номинальных миллиметрах набора. Классическая обработка заняла 4.3 мс/изображение на CPU. Все числа автоматически связаны с predictions и metrics; ограничения метаданных и внешней валидности сохранены явно.</w:t>
      </w:r>
    </w:p>
    <w:p>
      <w:pPr>
        <w:keepNext/>
        <w:spacing w:after="120" w:line="276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Ключевые слова:</w:t>
      </w:r>
      <w:r>
        <w:rPr>
          <w:i w:val="false"/>
          <w:iCs w:val="false"/>
          <w:sz w:val="22"/>
          <w:szCs w:val="22"/>
        </w:rPr>
        <w:t xml:space="preserve"> компьютерное зрение; хлеб; неразрушающие измерения; обработка изображений; машинное обучение; контроль качества; Bland--Altman.</w:t>
      </w:r>
    </w:p>
    <w:p>
      <w:pPr>
        <w:pStyle w:val="Heading1"/>
        <w:keepNext/>
      </w:pPr>
      <w:r>
        <w:t xml:space="preserve">1. Введение</w:t>
      </w:r>
    </w:p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Ручной контроль размеров хлебобулочных изделий плохо масштабируется и даёт лишь выборочную информацию о процессе. RGB-камера позволяет выполнять дешёвое бесконтактное измерение, однако точность зависит от освещения, ракурса, масштаба и прослеживаемости измерений. Обзоры методов визуального контроля хлеба отмечают широкий набор цветовых, текстурных и геометрических признаков, но также недостаток стандартизации и воспроизводимости [16,17]. Gaussian blur, Otsu, морфология и OpenCV уже использовались для хлеба [2,5], поэтому в данной работе они рассматриваются как baseline.</w:t>
      </w:r>
    </w:p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Цель работы — разработать и проверить автоматический воспроизводимый pipeline оценки ширины, высоты и формы хлеба, сравнив простую линейную калибровку с обучаемой регрессией и связав каждое утверждение с сохранёнными результатами. Гипотеза H1 состоит в том, что морфологические признаки снижают ошибку относительно одномерной pixel-to-mm калибровки; её статус определяется только вычислительным экспериментом.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562100"/>
            <wp:effectExtent t="0" r="0" b="0" l="0"/>
            <wp:docPr id="1" name="pipeline.png" descr="Схема полного экспериментального процесса" title="Схема полного экспериментального процес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line="240"/>
        <w:jc w:val="center"/>
      </w:pPr>
      <w:r>
        <w:rPr>
          <w:b/>
          <w:bCs/>
          <w:i/>
          <w:iCs/>
          <w:sz w:val="18"/>
          <w:szCs w:val="18"/>
        </w:rPr>
        <w:t xml:space="preserve">Рисунок 1.</w:t>
      </w:r>
      <w:r>
        <w:rPr>
          <w:i/>
          <w:iCs/>
          <w:sz w:val="18"/>
          <w:szCs w:val="18"/>
        </w:rPr>
        <w:t xml:space="preserve"> Полный процесс от аудита версионированного набора данных и группового разбиения до сегментации, извлечения признаков, выбора модели, финальной оценки и формирования материалов исследования. Независимая test-выборка используется только после выбора метода по validation.</w:t>
      </w:r>
    </w:p>
    <w:p>
      <w:pPr>
        <w:pStyle w:val="Heading1"/>
        <w:keepNext/>
      </w:pPr>
      <w:r>
        <w:t xml:space="preserve">2. Материалы и методы</w:t>
      </w:r>
    </w:p>
    <w:p>
      <w:pPr>
        <w:pStyle w:val="Heading2"/>
        <w:keepNext/>
      </w:pPr>
      <w:r>
        <w:t xml:space="preserve">2.1 Набор данных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006"/>
      </w:tblGrid>
      <w:tr>
        <w:trPr>
          <w:tblHeader/>
        </w:trPr>
        <w:tc>
          <w:tcPr>
            <w:tcW w:type="dxa" w:w="7200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006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7200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Изображений в архиве</w:t>
            </w:r>
          </w:p>
        </w:tc>
        <w:tc>
          <w:tcPr>
            <w:tcW w:type="dxa" w:w="3006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2211</w:t>
            </w:r>
          </w:p>
        </w:tc>
      </w:tr>
      <w:tr>
        <w:tc>
          <w:tcPr>
            <w:tcW w:type="dxa" w:w="7200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Строк измерений</w:t>
            </w:r>
          </w:p>
        </w:tc>
        <w:tc>
          <w:tcPr>
            <w:tcW w:type="dxa" w:w="3006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173</w:t>
            </w:r>
          </w:p>
        </w:tc>
      </w:tr>
      <w:tr>
        <w:tc>
          <w:tcPr>
            <w:tcW w:type="dxa" w:w="7200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Допустимых образцов</w:t>
            </w:r>
          </w:p>
        </w:tc>
        <w:tc>
          <w:tcPr>
            <w:tcW w:type="dxa" w:w="3006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171</w:t>
            </w:r>
          </w:p>
        </w:tc>
      </w:tr>
      <w:tr>
        <w:tc>
          <w:tcPr>
            <w:tcW w:type="dxa" w:w="7200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/ validation / test</w:t>
            </w:r>
          </w:p>
        </w:tc>
        <w:tc>
          <w:tcPr>
            <w:tcW w:type="dxa" w:w="3006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119 / 26 / 26</w:t>
            </w:r>
          </w:p>
        </w:tc>
      </w:tr>
      <w:tr>
        <w:tc>
          <w:tcPr>
            <w:tcW w:type="dxa" w:w="7200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Ошибок сегментации</w:t>
            </w:r>
          </w:p>
        </w:tc>
        <w:tc>
          <w:tcPr>
            <w:tcW w:type="dxa" w:w="3006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Использован официальный набор Mora [1] под лицензией CC BY 4.0; изображения не включены в Git. Заявленные авторами 1 635 изображений не принимались за объём размерной выборки. </w:t>
      </w:r>
      <w:r>
        <w:rPr>
          <w:rFonts w:ascii="Courier New" w:cs="Courier New" w:eastAsia="Courier New" w:hAnsi="Courier New"/>
          <w:i w:val="false"/>
          <w:iCs w:val="false"/>
          <w:sz w:val="22"/>
          <w:szCs w:val="22"/>
        </w:rPr>
        <w:t xml:space="preserve">Data.csv</w:t>
      </w:r>
      <w:r>
        <w:rPr>
          <w:i w:val="false"/>
          <w:iCs w:val="false"/>
          <w:sz w:val="22"/>
          <w:szCs w:val="22"/>
        </w:rPr>
        <w:t xml:space="preserve"> содержит 173 строки и отдельные имена изображений для width/height и thickness. Повторяющееся имя с конфликтующими размерами сделало две строки неоднозначными; они исключены консервативно. Для основной задачи осталось 171 образцов. Производные цветовые crops не смешивались с исходными изображениями. CSV не кодирует единицы; значения интерпретированы как номинальные миллиметры, что отмечено как ограничение.</w:t>
      </w:r>
    </w:p>
    <w:p>
      <w:pPr>
        <w:pStyle w:val="Heading2"/>
        <w:keepNext/>
      </w:pPr>
      <w:r>
        <w:t xml:space="preserve">2.2 Обработка и признаки</w:t>
      </w:r>
    </w:p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После grayscale и Gaussian blur порог Отсу [12] оценивался для обеих полярностей. Opening и closing подавляли малые объекты, затем выбирался крупнейший допустимый контур. Сохранялись mask, контур, bounding box, служебные флаги и время. Рассчитывались width/height в пикселях, area, perimeter, aspect ratio, circularity, solidity, extent, equivalent diameter, а при наличии пяти точек — оси эллипса и eccentricity. Искусственные классы качества формы не вводились.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segmentation_examples.png" descr="Фотографии хлеба, маски и найденные контуры" title="Фотографии хлеба, маски и найденные кон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line="240"/>
        <w:jc w:val="center"/>
      </w:pPr>
      <w:r>
        <w:rPr>
          <w:b/>
          <w:bCs/>
          <w:i/>
          <w:iCs/>
          <w:sz w:val="18"/>
          <w:szCs w:val="18"/>
        </w:rPr>
        <w:t xml:space="preserve">Рисунок 2.</w:t>
      </w:r>
      <w:r>
        <w:rPr>
          <w:i/>
          <w:iCs/>
          <w:sz w:val="18"/>
          <w:szCs w:val="18"/>
        </w:rPr>
        <w:t xml:space="preserve"> Примеры исходных фотографий из размерной части набора, автоматически полученных бинарных масок и контуров с измерениями ширины и высоты. Неровности корки сохраняются в контуре, а не заменяются идеализированной геометрической фигурой.</w:t>
      </w:r>
    </w:p>
    <w:p>
      <w:pPr>
        <w:pStyle w:val="Heading2"/>
        <w:keepNext/>
      </w:pPr>
      <w:r>
        <w:t xml:space="preserve">2.3 Эксперимент</w:t>
      </w:r>
    </w:p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Физические sample ID разделены на train/validation/test в долях 70/15/15 при seed=42; пересечение групп программно запрещено. Validation-кандидаты обучались только на train. После выбора метода классические модели переобучались на train+validation перед однократной оценкой final test. Для Method B сравнивались Linear Regression, Ridge, Random Forest [15] и HistGradientBoostingRegressor. Ablation сопоставлял два пиксельных признака и полный набор морфологии.</w:t>
      </w:r>
    </w:p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Для width и height вычислялись MAE, RMSE и R², bootstrap-интервалы MAE и парный Wilcoxon по общей выборке. Согласие лучшего метода анализировалось по Bland--Altman [13], поскольку высокий R² сам по себе не доказывает согласие измерений. CPU benchmark включал сегментацию и извлечение признаков.</w:t>
      </w:r>
    </w:p>
    <w:p>
      <w:pPr>
        <w:pStyle w:val="Heading1"/>
        <w:keepNext/>
      </w:pPr>
      <w:r>
        <w:t xml:space="preserve">3. Результаты и обсуждение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2"/>
        <w:gridCol w:w="2402"/>
        <w:gridCol w:w="2402"/>
      </w:tblGrid>
      <w:tr>
        <w:trPr>
          <w:tblHeader/>
        </w:trPr>
        <w:tc>
          <w:tcPr>
            <w:tcW w:type="dxa" w:w="3000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2402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MAE</w:t>
            </w:r>
          </w:p>
        </w:tc>
        <w:tc>
          <w:tcPr>
            <w:tcW w:type="dxa" w:w="2402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2402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3000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2402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2.103</w:t>
            </w:r>
          </w:p>
        </w:tc>
        <w:tc>
          <w:tcPr>
            <w:tcW w:type="dxa" w:w="2402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3.122</w:t>
            </w:r>
          </w:p>
        </w:tc>
        <w:tc>
          <w:tcPr>
            <w:tcW w:type="dxa" w:w="2402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0.694</w:t>
            </w:r>
          </w:p>
        </w:tc>
      </w:tr>
      <w:tr>
        <w:tc>
          <w:tcPr>
            <w:tcW w:type="dxa" w:w="3000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Высота</w:t>
            </w:r>
          </w:p>
        </w:tc>
        <w:tc>
          <w:tcPr>
            <w:tcW w:type="dxa" w:w="2402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2.400</w:t>
            </w:r>
          </w:p>
        </w:tc>
        <w:tc>
          <w:tcPr>
            <w:tcW w:type="dxa" w:w="2402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3.016</w:t>
            </w:r>
          </w:p>
        </w:tc>
        <w:tc>
          <w:tcPr>
            <w:tcW w:type="dxa" w:w="2402"/>
            <w:tcBorders>
              <w:top w:val="single" w:color="B7C9D6" w:sz="2"/>
              <w:left w:val="single" w:color="B7C9D6" w:sz="2"/>
              <w:bottom w:val="single" w:color="B7C9D6" w:sz="2"/>
              <w:right w:val="single" w:color="B7C9D6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0.847</w:t>
            </w:r>
          </w:p>
        </w:tc>
      </w:tr>
    </w:tbl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По validation MAE выбран </w:t>
      </w:r>
      <w:r>
        <w:rPr>
          <w:b/>
          <w:bCs/>
          <w:i w:val="false"/>
          <w:iCs w:val="false"/>
          <w:sz w:val="22"/>
          <w:szCs w:val="22"/>
        </w:rPr>
        <w:t xml:space="preserve">hist_gradient_boosting</w:t>
      </w:r>
      <w:r>
        <w:rPr>
          <w:i w:val="false"/>
          <w:iCs w:val="false"/>
          <w:sz w:val="22"/>
          <w:szCs w:val="22"/>
        </w:rPr>
        <w:t xml:space="preserve">. На 26 тестовых образцах MAE width=2.10, height=2.40; RMSE width=3.12, height=3.02; R² width=0.694, height=0.847. Полные метрики, интервалы, Bland--Altman, predictions и ablation находятся в </w:t>
      </w:r>
      <w:r>
        <w:rPr>
          <w:rFonts w:ascii="Courier New" w:cs="Courier New" w:eastAsia="Courier New" w:hAnsi="Courier New"/>
          <w:i w:val="false"/>
          <w:iCs w:val="false"/>
          <w:sz w:val="22"/>
          <w:szCs w:val="22"/>
        </w:rPr>
        <w:t xml:space="preserve">reports/results.md</w:t>
      </w:r>
      <w:r>
        <w:rPr>
          <w:i w:val="false"/>
          <w:iCs w:val="false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i w:val="false"/>
          <w:iCs w:val="false"/>
          <w:sz w:val="22"/>
          <w:szCs w:val="22"/>
        </w:rPr>
        <w:t xml:space="preserve">results/</w:t>
      </w:r>
      <w:r>
        <w:rPr>
          <w:i w:val="false"/>
          <w:iCs w:val="false"/>
          <w:sz w:val="22"/>
          <w:szCs w:val="22"/>
        </w:rPr>
        <w:t xml:space="preserve"> и генерируются одним запуском. Среднее время классической обработки — 4.3 мс/изображение. Статус lightweight CNN: </w:t>
      </w:r>
      <w:r>
        <w:rPr>
          <w:rFonts w:ascii="Courier New" w:cs="Courier New" w:eastAsia="Courier New" w:hAnsi="Courier New"/>
          <w:i w:val="false"/>
          <w:iCs w:val="false"/>
          <w:sz w:val="22"/>
          <w:szCs w:val="22"/>
        </w:rPr>
        <w:t xml:space="preserve">completed</w:t>
      </w:r>
      <w:r>
        <w:rPr>
          <w:i w:val="false"/>
          <w:iCs w:val="false"/>
          <w:sz w:val="22"/>
          <w:szCs w:val="22"/>
        </w:rPr>
        <w:t xml:space="preserve">; отсутствующий эксперимент не подменяется положительным выводом.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predicted_vs_actual.png" descr="Эталонные значения и прогнозы модели" title="Эталонные значения и прогнозы мо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line="240"/>
        <w:jc w:val="center"/>
      </w:pPr>
      <w:r>
        <w:rPr>
          <w:b/>
          <w:bCs/>
          <w:i/>
          <w:iCs/>
          <w:sz w:val="18"/>
          <w:szCs w:val="18"/>
        </w:rPr>
        <w:t xml:space="preserve">Рисунок 3.</w:t>
      </w:r>
      <w:r>
        <w:rPr>
          <w:i/>
          <w:iCs/>
          <w:sz w:val="18"/>
          <w:szCs w:val="18"/>
        </w:rPr>
        <w:t xml:space="preserve"> Эталонные значения и прогнозы выбранной по validation модели на независимом test. Пунктирная линия соответствует идеальному равенству и показывает сжатие прогнозов на крайних значениях, особенно для наиболее широких образцов.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371725"/>
            <wp:effectExtent t="0" r="0" b="0" l="0"/>
            <wp:docPr id="1" name="bland_altman.png" descr="Анализ согласия Bland--Altman" title="Анализ согласия Bland--Al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line="240"/>
        <w:jc w:val="center"/>
      </w:pPr>
      <w:r>
        <w:rPr>
          <w:b/>
          <w:bCs/>
          <w:i/>
          <w:iCs/>
          <w:sz w:val="18"/>
          <w:szCs w:val="18"/>
        </w:rPr>
        <w:t xml:space="preserve">Рисунок 4.</w:t>
      </w:r>
      <w:r>
        <w:rPr>
          <w:i/>
          <w:iCs/>
          <w:sz w:val="18"/>
          <w:szCs w:val="18"/>
        </w:rPr>
        <w:t xml:space="preserve"> Анализ согласия Bland--Altman для ширины и высоты. Центральная линия показывает среднее смещение, внешние линии — эмпирические 95%-е пределы согласия. Такой график дополняет R², показывая величину и разброс парных ошибок измерения.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152775"/>
            <wp:effectExtent t="0" r="0" b="0" l="0"/>
            <wp:docPr id="1" name="model_comparison.png" descr="Сравнение MAE методов" title="Сравнение MAE мето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line="240"/>
        <w:jc w:val="center"/>
      </w:pPr>
      <w:r>
        <w:rPr>
          <w:b/>
          <w:bCs/>
          <w:i/>
          <w:iCs/>
          <w:sz w:val="18"/>
          <w:szCs w:val="18"/>
        </w:rPr>
        <w:t xml:space="preserve">Рисунок 5.</w:t>
      </w:r>
      <w:r>
        <w:rPr>
          <w:i/>
          <w:iCs/>
          <w:sz w:val="18"/>
          <w:szCs w:val="18"/>
        </w:rPr>
        <w:t xml:space="preserve"> Сравнение MAE линейной калибровки, регрессоров по морфологическим признакам и MobileNetV3-Small на final test. Результат CNN сохранён как отрицательное сравнение: при данном размере выборки компактная морфологическая модель оказалась точнее.</w:t>
      </w:r>
    </w:p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Различие ошибок по двум осям может быть связано с неправильной формой корки, поворотом и чувствительностью axis-aligned bounding box. Морфологическая регрессия учитывает площадь и компактность, но калибровка остаётся специфичной для камеры и стенда. Сопоставлять числа напрямую с работами по нарезному хлебу [2], багетам [3] или RGB-D оценке еды [11] некорректно из-за разных объектов, геометрии и целевых переменных.</w:t>
      </w:r>
    </w:p>
    <w:p>
      <w:pPr>
        <w:pStyle w:val="Heading1"/>
        <w:keepNext/>
      </w:pPr>
      <w:r>
        <w:t xml:space="preserve">4. Заключение</w:t>
      </w:r>
    </w:p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Получен воспроизводимый pipeline от аудита и автоматической сегментации до физической калибровки, статистики согласия и CPU benchmark. Метод hist_gradient_boosting дал MAE 2.10 для ширины и 2.40 для высоты на независимом test в номинальных единицах CSV. Главные ограничения — отсутствие явной единицы в CSV, конфликтующая запись, контролируемая съёмка и отсутствие внешней выборки. Дальнейшая работа должна проверить новые камеры и изделия, добавить эталон масштаба, учесть неопределённость инструментальных измерений и выполнять CNN-baseline только при достаточной эффективной выборке.</w:t>
      </w:r>
    </w:p>
    <w:p>
      <w:pPr>
        <w:pStyle w:val="Heading1"/>
        <w:keepNext/>
        <w:pageBreakBefore/>
      </w:pPr>
      <w:r>
        <w:t xml:space="preserve">Литература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Mora J. </w:t>
      </w:r>
      <w:r>
        <w:rPr>
          <w:i/>
          <w:iCs/>
          <w:sz w:val="18"/>
          <w:szCs w:val="18"/>
        </w:rPr>
        <w:t xml:space="preserve">A dataset containing images of bread crumb and crust, along with measurements of size, color, and hardness</w:t>
      </w:r>
      <w:r>
        <w:rPr>
          <w:sz w:val="18"/>
          <w:szCs w:val="18"/>
        </w:rPr>
        <w:t xml:space="preserve">. Mendeley Data, version 1, 2025. </w:t>
      </w:r>
      <w:hyperlink w:history="1" r:id="rIdgxiza21rtqtmluh637zlv">
        <w:r>
          <w:rPr>
            <w:rStyle w:val="Hyperlink"/>
            <w:sz w:val="18"/>
            <w:szCs w:val="18"/>
          </w:rPr>
          <w:t xml:space="preserve">doi:10.17632/f663p7c89m.1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Martínez-Lara N.-D., Garzón-Castro C. L., Filomena-Ambrosio A. Analysis of physical properties in white and whole wheat sliced bread using digital image processing. </w:t>
      </w:r>
      <w:r>
        <w:rPr>
          <w:i/>
          <w:iCs/>
          <w:sz w:val="18"/>
          <w:szCs w:val="18"/>
        </w:rPr>
        <w:t xml:space="preserve">Discover Food</w:t>
      </w:r>
      <w:r>
        <w:rPr>
          <w:sz w:val="18"/>
          <w:szCs w:val="18"/>
        </w:rPr>
        <w:t xml:space="preserve">, 5, 261, 2025. </w:t>
      </w:r>
      <w:hyperlink w:history="1" r:id="rIdzj3lucavx7evcrzio7vwu">
        <w:r>
          <w:rPr>
            <w:rStyle w:val="Hyperlink"/>
            <w:sz w:val="18"/>
            <w:szCs w:val="18"/>
          </w:rPr>
          <w:t xml:space="preserve">doi:10.1007/s44187-025-00568-3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Dong C., Huang L., Xiong C., Li M., Tang J. Evaluation of quality of baguette bread using image analysis technique. </w:t>
      </w:r>
      <w:r>
        <w:rPr>
          <w:i/>
          <w:iCs/>
          <w:sz w:val="18"/>
          <w:szCs w:val="18"/>
        </w:rPr>
        <w:t xml:space="preserve">Journal of Food Composition and Analysis</w:t>
      </w:r>
      <w:r>
        <w:rPr>
          <w:sz w:val="18"/>
          <w:szCs w:val="18"/>
        </w:rPr>
        <w:t xml:space="preserve">, 140, 107222, 2025. </w:t>
      </w:r>
      <w:hyperlink w:history="1" r:id="rIdqgtulgtyb5j1ytcnedvlu">
        <w:r>
          <w:rPr>
            <w:rStyle w:val="Hyperlink"/>
            <w:sz w:val="18"/>
            <w:szCs w:val="18"/>
          </w:rPr>
          <w:t xml:space="preserve">doi:10.1016/j.jfca.2025.107222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Azmat M. et al. Assessing traits in bread using image analysis and machine learning. </w:t>
      </w:r>
      <w:r>
        <w:rPr>
          <w:i/>
          <w:iCs/>
          <w:sz w:val="18"/>
          <w:szCs w:val="18"/>
        </w:rPr>
        <w:t xml:space="preserve">Food Research International</w:t>
      </w:r>
      <w:r>
        <w:rPr>
          <w:sz w:val="18"/>
          <w:szCs w:val="18"/>
        </w:rPr>
        <w:t xml:space="preserve">, 235, 119131, 2026. </w:t>
      </w:r>
      <w:hyperlink w:history="1" r:id="rIdb4ss7izwmcp7v5cdfbdhi">
        <w:r>
          <w:rPr>
            <w:rStyle w:val="Hyperlink"/>
            <w:sz w:val="18"/>
            <w:szCs w:val="18"/>
          </w:rPr>
          <w:t xml:space="preserve">doi:10.1016/j.foodres.2026.119131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Lee J., Kim Y., Kim S. The Study of an Adaptive Bread Maker Using Machine Learning. </w:t>
      </w:r>
      <w:r>
        <w:rPr>
          <w:i/>
          <w:iCs/>
          <w:sz w:val="18"/>
          <w:szCs w:val="18"/>
        </w:rPr>
        <w:t xml:space="preserve">Foods</w:t>
      </w:r>
      <w:r>
        <w:rPr>
          <w:sz w:val="18"/>
          <w:szCs w:val="18"/>
        </w:rPr>
        <w:t xml:space="preserve">, 12(22), 4160, 2023. </w:t>
      </w:r>
      <w:hyperlink w:history="1" r:id="rId9rpk1z8kjqolew_wdaevb">
        <w:r>
          <w:rPr>
            <w:rStyle w:val="Hyperlink"/>
            <w:sz w:val="18"/>
            <w:szCs w:val="18"/>
          </w:rPr>
          <w:t xml:space="preserve">doi:10.3390/foods12224160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Gonzalez Viejo C., Harris N. M., Fuentes S. Quality Traits of Sourdough Bread Obtained by Novel Digital Technologies and Machine Learning Modelling. </w:t>
      </w:r>
      <w:r>
        <w:rPr>
          <w:i/>
          <w:iCs/>
          <w:sz w:val="18"/>
          <w:szCs w:val="18"/>
        </w:rPr>
        <w:t xml:space="preserve">Fermentation</w:t>
      </w:r>
      <w:r>
        <w:rPr>
          <w:sz w:val="18"/>
          <w:szCs w:val="18"/>
        </w:rPr>
        <w:t xml:space="preserve">, 8(10), 516, 2022. </w:t>
      </w:r>
      <w:hyperlink w:history="1" r:id="rIdbzikavvuymhwq6dcc_vpf">
        <w:r>
          <w:rPr>
            <w:rStyle w:val="Hyperlink"/>
            <w:sz w:val="18"/>
            <w:szCs w:val="18"/>
          </w:rPr>
          <w:t xml:space="preserve">doi:10.3390/fermentation8100516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Olakanmi S. J. et al. Quality Characterization of Fava Bean-Fortified Bread Using Hyperspectral Imaging. </w:t>
      </w:r>
      <w:r>
        <w:rPr>
          <w:i/>
          <w:iCs/>
          <w:sz w:val="18"/>
          <w:szCs w:val="18"/>
        </w:rPr>
        <w:t xml:space="preserve">Foods</w:t>
      </w:r>
      <w:r>
        <w:rPr>
          <w:sz w:val="18"/>
          <w:szCs w:val="18"/>
        </w:rPr>
        <w:t xml:space="preserve">, 13(2), 231, 2024. </w:t>
      </w:r>
      <w:hyperlink w:history="1" r:id="rIdcxyrymaa0v9o5gicf2fhs">
        <w:r>
          <w:rPr>
            <w:rStyle w:val="Hyperlink"/>
            <w:sz w:val="18"/>
            <w:szCs w:val="18"/>
          </w:rPr>
          <w:t xml:space="preserve">doi:10.3390/foods13020231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Ruderman M., Howell K. A., Appels R. Digital image analysis to assess the texture of bread products. </w:t>
      </w:r>
      <w:r>
        <w:rPr>
          <w:i/>
          <w:iCs/>
          <w:sz w:val="18"/>
          <w:szCs w:val="18"/>
        </w:rPr>
        <w:t xml:space="preserve">Applied Food Research</w:t>
      </w:r>
      <w:r>
        <w:rPr>
          <w:sz w:val="18"/>
          <w:szCs w:val="18"/>
        </w:rPr>
        <w:t xml:space="preserve">, 5(2), 101447, 2025. </w:t>
      </w:r>
      <w:hyperlink w:history="1" r:id="rIdvzo6no5m4pcygnaquxe6r">
        <w:r>
          <w:rPr>
            <w:rStyle w:val="Hyperlink"/>
            <w:sz w:val="18"/>
            <w:szCs w:val="18"/>
          </w:rPr>
          <w:t xml:space="preserve">doi:10.1016/j.afres.2025.101447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Torres J. D. et al. Non-invasive microstructural characterization and in vivo glycemic response of white bread formulated with soluble dietary fiber. </w:t>
      </w:r>
      <w:r>
        <w:rPr>
          <w:i/>
          <w:iCs/>
          <w:sz w:val="18"/>
          <w:szCs w:val="18"/>
        </w:rPr>
        <w:t xml:space="preserve">Food Bioscience</w:t>
      </w:r>
      <w:r>
        <w:rPr>
          <w:sz w:val="18"/>
          <w:szCs w:val="18"/>
        </w:rPr>
        <w:t xml:space="preserve">, 61, 104505, 2024. </w:t>
      </w:r>
      <w:hyperlink w:history="1" r:id="rIdc4bv4ylrjudnwr4in6bdq">
        <w:r>
          <w:rPr>
            <w:rStyle w:val="Hyperlink"/>
            <w:sz w:val="18"/>
            <w:szCs w:val="18"/>
          </w:rPr>
          <w:t xml:space="preserve">doi:10.1016/j.fbio.2024.104505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Nallan Chakravartula S. S. et al. Computer vision-based smart monitoring and control system for food drying: A study on carrot slices. </w:t>
      </w:r>
      <w:r>
        <w:rPr>
          <w:i/>
          <w:iCs/>
          <w:sz w:val="18"/>
          <w:szCs w:val="18"/>
        </w:rPr>
        <w:t xml:space="preserve">Computers and Electronics in Agriculture</w:t>
      </w:r>
      <w:r>
        <w:rPr>
          <w:sz w:val="18"/>
          <w:szCs w:val="18"/>
        </w:rPr>
        <w:t xml:space="preserve">, 206, 107654, 2023. </w:t>
      </w:r>
      <w:hyperlink w:history="1" r:id="rIds7dwhr8so8qtoh2mzx7ao">
        <w:r>
          <w:rPr>
            <w:rStyle w:val="Hyperlink"/>
            <w:sz w:val="18"/>
            <w:szCs w:val="18"/>
          </w:rPr>
          <w:t xml:space="preserve">doi:10.1016/j.compag.2023.107654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Gonzalez B. et al. Automated Food Weight and Content Estimation Using Computer Vision and AI Algorithms. </w:t>
      </w:r>
      <w:r>
        <w:rPr>
          <w:i/>
          <w:iCs/>
          <w:sz w:val="18"/>
          <w:szCs w:val="18"/>
        </w:rPr>
        <w:t xml:space="preserve">Sensors</w:t>
      </w:r>
      <w:r>
        <w:rPr>
          <w:sz w:val="18"/>
          <w:szCs w:val="18"/>
        </w:rPr>
        <w:t xml:space="preserve">, 24(23), 7660, 2024. </w:t>
      </w:r>
      <w:hyperlink w:history="1" r:id="rId11ut5oxs94xsrc4f28vlh">
        <w:r>
          <w:rPr>
            <w:rStyle w:val="Hyperlink"/>
            <w:sz w:val="18"/>
            <w:szCs w:val="18"/>
          </w:rPr>
          <w:t xml:space="preserve">doi:10.3390/s24237660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Otsu N. A Threshold Selection Method from Gray-Level Histograms. </w:t>
      </w:r>
      <w:r>
        <w:rPr>
          <w:i/>
          <w:iCs/>
          <w:sz w:val="18"/>
          <w:szCs w:val="18"/>
        </w:rPr>
        <w:t xml:space="preserve">IEEE Transactions on Systems, Man, and Cybernetics</w:t>
      </w:r>
      <w:r>
        <w:rPr>
          <w:sz w:val="18"/>
          <w:szCs w:val="18"/>
        </w:rPr>
        <w:t xml:space="preserve">, 9(1), 62–66, 1979. </w:t>
      </w:r>
      <w:hyperlink w:history="1" r:id="rIdadrnysjyywrpi-zbv9leb">
        <w:r>
          <w:rPr>
            <w:rStyle w:val="Hyperlink"/>
            <w:sz w:val="18"/>
            <w:szCs w:val="18"/>
          </w:rPr>
          <w:t xml:space="preserve">doi:10.1109/TSMC.1979.4310076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Bland J. M., Altman D. G. Statistical methods for assessing agreement between two methods of clinical measurement. </w:t>
      </w:r>
      <w:r>
        <w:rPr>
          <w:i/>
          <w:iCs/>
          <w:sz w:val="18"/>
          <w:szCs w:val="18"/>
        </w:rPr>
        <w:t xml:space="preserve">The Lancet</w:t>
      </w:r>
      <w:r>
        <w:rPr>
          <w:sz w:val="18"/>
          <w:szCs w:val="18"/>
        </w:rPr>
        <w:t xml:space="preserve">, 327(8476), 307–310, 1986. </w:t>
      </w:r>
      <w:hyperlink w:history="1" r:id="rId8ud43geuu0n06mt7ontip">
        <w:r>
          <w:rPr>
            <w:rStyle w:val="Hyperlink"/>
            <w:sz w:val="18"/>
            <w:szCs w:val="18"/>
          </w:rPr>
          <w:t xml:space="preserve">doi:10.1016/S0140-6736(86)90837-8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Howard A. et al. Searching for MobileNetV3. </w:t>
      </w:r>
      <w:r>
        <w:rPr>
          <w:i/>
          <w:iCs/>
          <w:sz w:val="18"/>
          <w:szCs w:val="18"/>
        </w:rPr>
        <w:t xml:space="preserve">Proceedings of the IEEE/CVF International Conference on Computer Vision</w:t>
      </w:r>
      <w:r>
        <w:rPr>
          <w:sz w:val="18"/>
          <w:szCs w:val="18"/>
        </w:rPr>
        <w:t xml:space="preserve">, 1314–1324, 2019. </w:t>
      </w:r>
      <w:hyperlink w:history="1" r:id="rIddgwdnofeqzff6xjmysjgl">
        <w:r>
          <w:rPr>
            <w:rStyle w:val="Hyperlink"/>
            <w:sz w:val="18"/>
            <w:szCs w:val="18"/>
          </w:rPr>
          <w:t xml:space="preserve">doi:10.1109/ICCV.2019.00140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Breiman L. Random Forests. </w:t>
      </w:r>
      <w:r>
        <w:rPr>
          <w:i/>
          <w:iCs/>
          <w:sz w:val="18"/>
          <w:szCs w:val="18"/>
        </w:rPr>
        <w:t xml:space="preserve">Machine Learning</w:t>
      </w:r>
      <w:r>
        <w:rPr>
          <w:sz w:val="18"/>
          <w:szCs w:val="18"/>
        </w:rPr>
        <w:t xml:space="preserve">, 45, 5–32, 2001. </w:t>
      </w:r>
      <w:hyperlink w:history="1" r:id="rIdedmaes9tsgctybt_kqgjc">
        <w:r>
          <w:rPr>
            <w:rStyle w:val="Hyperlink"/>
            <w:sz w:val="18"/>
            <w:szCs w:val="18"/>
          </w:rPr>
          <w:t xml:space="preserve">doi:10.1023/A:1010933404324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Olakanmi S. J., Jayas D. S., Paliwal J. Applications of imaging systems for the assessment of quality characteristics of bread and other baked goods: A review. </w:t>
      </w:r>
      <w:r>
        <w:rPr>
          <w:i/>
          <w:iCs/>
          <w:sz w:val="18"/>
          <w:szCs w:val="18"/>
        </w:rPr>
        <w:t xml:space="preserve">Comprehensive Reviews in Food Science and Food Safety</w:t>
      </w:r>
      <w:r>
        <w:rPr>
          <w:sz w:val="18"/>
          <w:szCs w:val="18"/>
        </w:rPr>
        <w:t xml:space="preserve">, 22(3), 1817–1838, 2023. </w:t>
      </w:r>
      <w:hyperlink w:history="1" r:id="rIdl2ofwplepivdempy5qwdg">
        <w:r>
          <w:rPr>
            <w:rStyle w:val="Hyperlink"/>
            <w:sz w:val="18"/>
            <w:szCs w:val="18"/>
          </w:rPr>
          <w:t xml:space="preserve">doi:10.1111/1541-4337.13131</w:t>
        </w:r>
      </w:hyperlink>
      <w:r>
        <w:rPr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40"/>
        <w:jc w:val="both"/>
      </w:pPr>
      <w:r>
        <w:rPr>
          <w:sz w:val="18"/>
          <w:szCs w:val="18"/>
        </w:rPr>
        <w:t xml:space="preserve">Martínez-Lara N.-D., Filomena-Ambrosio A., Garzón-Castro C. L. Use of computer vision systems in baked products: potential tool for measuring physical properties. </w:t>
      </w:r>
      <w:r>
        <w:rPr>
          <w:i/>
          <w:iCs/>
          <w:sz w:val="18"/>
          <w:szCs w:val="18"/>
        </w:rPr>
        <w:t xml:space="preserve">Journal of Food Measurement and Characterization</w:t>
      </w:r>
      <w:r>
        <w:rPr>
          <w:sz w:val="18"/>
          <w:szCs w:val="18"/>
        </w:rPr>
        <w:t xml:space="preserve">, 20, 6925–6947, 2026. </w:t>
      </w:r>
      <w:hyperlink w:history="1" r:id="rId4h5ywlowtqhoe0ii4s5f9">
        <w:r>
          <w:rPr>
            <w:rStyle w:val="Hyperlink"/>
            <w:sz w:val="18"/>
            <w:szCs w:val="18"/>
          </w:rPr>
          <w:t xml:space="preserve">doi:10.1007/s11694-026-04154-8</w:t>
        </w:r>
      </w:hyperlink>
      <w:r>
        <w:rPr>
          <w:sz w:val="18"/>
          <w:szCs w:val="18"/>
        </w:rPr>
        <w:t xml:space="preserve">.</w:t>
      </w:r>
    </w:p>
    <w:p>
      <w:pPr>
        <w:keepNext w:val="false"/>
        <w:spacing w:after="120" w:line="276"/>
        <w:jc w:val="both"/>
      </w:pPr>
      <w:r>
        <w:rPr>
          <w:i w:val="false"/>
          <w:iCs w:val="false"/>
          <w:sz w:val="22"/>
          <w:szCs w:val="22"/>
        </w:rPr>
        <w:t xml:space="preserve">Те же проверенные записи доступны в машиночитаемом формате BibTeX в файле </w:t>
      </w:r>
      <w:r>
        <w:rPr>
          <w:rFonts w:ascii="Courier New" w:cs="Courier New" w:eastAsia="Courier New" w:hAnsi="Courier New"/>
          <w:i w:val="false"/>
          <w:iCs w:val="false"/>
          <w:sz w:val="22"/>
          <w:szCs w:val="22"/>
        </w:rPr>
        <w:t xml:space="preserve">references.bib</w:t>
      </w:r>
      <w:r>
        <w:rPr>
          <w:i w:val="false"/>
          <w:iCs w:val="false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425" w:footer="42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597" w:sz="5"/>
      </w:pBdr>
    </w:pPr>
    <w:r>
      <w:rPr>
        <w:color w:val="666666"/>
        <w:sz w:val="17"/>
        <w:szCs w:val="17"/>
      </w:rPr>
      <w:t xml:space="preserve">Бесконтактная оценка размеров хлеба по RGB-изображениям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xiza21rtqtmluh637zlv" Type="http://schemas.openxmlformats.org/officeDocument/2006/relationships/hyperlink" Target="https://doi.org/10.17632/f663p7c89m.1" TargetMode="External"/><Relationship Id="rIdzj3lucavx7evcrzio7vwu" Type="http://schemas.openxmlformats.org/officeDocument/2006/relationships/hyperlink" Target="https://doi.org/10.1007/s44187-025-00568-3" TargetMode="External"/><Relationship Id="rIdqgtulgtyb5j1ytcnedvlu" Type="http://schemas.openxmlformats.org/officeDocument/2006/relationships/hyperlink" Target="https://doi.org/10.1016/j.jfca.2025.107222" TargetMode="External"/><Relationship Id="rIdb4ss7izwmcp7v5cdfbdhi" Type="http://schemas.openxmlformats.org/officeDocument/2006/relationships/hyperlink" Target="https://doi.org/10.1016/j.foodres.2026.119131" TargetMode="External"/><Relationship Id="rId9rpk1z8kjqolew_wdaevb" Type="http://schemas.openxmlformats.org/officeDocument/2006/relationships/hyperlink" Target="https://doi.org/10.3390/foods12224160" TargetMode="External"/><Relationship Id="rIdbzikavvuymhwq6dcc_vpf" Type="http://schemas.openxmlformats.org/officeDocument/2006/relationships/hyperlink" Target="https://doi.org/10.3390/fermentation8100516" TargetMode="External"/><Relationship Id="rIdcxyrymaa0v9o5gicf2fhs" Type="http://schemas.openxmlformats.org/officeDocument/2006/relationships/hyperlink" Target="https://doi.org/10.3390/foods13020231" TargetMode="External"/><Relationship Id="rIdvzo6no5m4pcygnaquxe6r" Type="http://schemas.openxmlformats.org/officeDocument/2006/relationships/hyperlink" Target="https://doi.org/10.1016/j.afres.2025.101447" TargetMode="External"/><Relationship Id="rIdc4bv4ylrjudnwr4in6bdq" Type="http://schemas.openxmlformats.org/officeDocument/2006/relationships/hyperlink" Target="https://doi.org/10.1016/j.fbio.2024.104505" TargetMode="External"/><Relationship Id="rIds7dwhr8so8qtoh2mzx7ao" Type="http://schemas.openxmlformats.org/officeDocument/2006/relationships/hyperlink" Target="https://doi.org/10.1016/j.compag.2023.107654" TargetMode="External"/><Relationship Id="rId11ut5oxs94xsrc4f28vlh" Type="http://schemas.openxmlformats.org/officeDocument/2006/relationships/hyperlink" Target="https://doi.org/10.3390/s24237660" TargetMode="External"/><Relationship Id="rIdadrnysjyywrpi-zbv9leb" Type="http://schemas.openxmlformats.org/officeDocument/2006/relationships/hyperlink" Target="https://doi.org/10.1109/TSMC.1979.4310076" TargetMode="External"/><Relationship Id="rId8ud43geuu0n06mt7ontip" Type="http://schemas.openxmlformats.org/officeDocument/2006/relationships/hyperlink" Target="https://doi.org/10.1016/S0140-6736(86)90837-8" TargetMode="External"/><Relationship Id="rIddgwdnofeqzff6xjmysjgl" Type="http://schemas.openxmlformats.org/officeDocument/2006/relationships/hyperlink" Target="https://doi.org/10.1109/ICCV.2019.00140" TargetMode="External"/><Relationship Id="rIdedmaes9tsgctybt_kqgjc" Type="http://schemas.openxmlformats.org/officeDocument/2006/relationships/hyperlink" Target="https://doi.org/10.1023/A:1010933404324" TargetMode="External"/><Relationship Id="rIdl2ofwplepivdempy5qwdg" Type="http://schemas.openxmlformats.org/officeDocument/2006/relationships/hyperlink" Target="https://doi.org/10.1111/1541-4337.13131" TargetMode="External"/><Relationship Id="rId4h5ywlowtqhoe0ii4s5f9" Type="http://schemas.openxmlformats.org/officeDocument/2006/relationships/hyperlink" Target="https://doi.org/10.1007/s11694-026-04154-8" TargetMode="External"/><Relationship Id="rId9" Type="http://schemas.openxmlformats.org/officeDocument/2006/relationships/image" Target="media/998e6faf278ae3fde56fd6845bc8fdd23f19e387.png"/><Relationship Id="rId10" Type="http://schemas.openxmlformats.org/officeDocument/2006/relationships/image" Target="media/aa6447e044292f662d4a4abfa06548a592a6e976.png"/><Relationship Id="rId11" Type="http://schemas.openxmlformats.org/officeDocument/2006/relationships/image" Target="media/db44cf6447fdd5ac29a8e5a33ac328143961ce2b.png"/><Relationship Id="rId12" Type="http://schemas.openxmlformats.org/officeDocument/2006/relationships/image" Target="media/a8cbb69edc856b943d4955b16a7f6e79f9ab37ed.png"/><Relationship Id="rId13" Type="http://schemas.openxmlformats.org/officeDocument/2006/relationships/image" Target="media/c871e39b25c7187a570d56fdb9f3dcd2ba41adf7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Автоматизированная бесконтактная оценка размеров и формы хлебобулочных изделий по RGB-изображениям</dc:title>
  <dc:subject>Reproducible computer-vision assessment of bread size and shape</dc:subject>
  <dc:creator>Bread CV Quality Assessment project</dc:creator>
  <cp:keywords>computer vision, bread quality, measurement, machine learning</cp:keywords>
  <cp:lastModifiedBy>Un-named</cp:lastModifiedBy>
  <cp:revision>1</cp:revision>
  <dcterms:created xsi:type="dcterms:W3CDTF">2026-09-16T02:28:39.563Z</dcterms:created>
  <dcterms:modified xsi:type="dcterms:W3CDTF">2026-09-16T02:28:39.563Z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